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cs="黑体" w:asciiTheme="minorEastAsia" w:hAnsiTheme="minorEastAsia"/>
          <w:b/>
          <w:color w:val="000000"/>
          <w:sz w:val="44"/>
          <w:szCs w:val="44"/>
          <w:lang w:val="zh-CN"/>
        </w:rPr>
      </w:pPr>
      <w:r>
        <w:rPr>
          <w:rFonts w:hint="eastAsia" w:cs="黑体" w:asciiTheme="minorEastAsia" w:hAnsiTheme="minorEastAsia"/>
          <w:b/>
          <w:color w:val="000000"/>
          <w:sz w:val="44"/>
          <w:szCs w:val="44"/>
          <w:lang w:val="zh-CN"/>
        </w:rPr>
        <w:t>“食品安全关键技术研发”专项</w:t>
      </w:r>
    </w:p>
    <w:p>
      <w:pPr>
        <w:spacing w:line="360" w:lineRule="auto"/>
        <w:jc w:val="center"/>
        <w:rPr>
          <w:rFonts w:cs="黑体" w:asciiTheme="minorEastAsia" w:hAnsiTheme="minorEastAsia"/>
          <w:b/>
          <w:color w:val="000000"/>
          <w:sz w:val="44"/>
          <w:szCs w:val="44"/>
          <w:lang w:val="zh-CN"/>
        </w:rPr>
      </w:pPr>
      <w:r>
        <w:rPr>
          <w:rFonts w:hint="eastAsia" w:cs="黑体" w:asciiTheme="minorEastAsia" w:hAnsiTheme="minorEastAsia"/>
          <w:b/>
          <w:color w:val="000000"/>
          <w:sz w:val="44"/>
          <w:szCs w:val="44"/>
          <w:lang w:val="zh-CN"/>
        </w:rPr>
        <w:t>核心专家库建设方案</w:t>
      </w:r>
    </w:p>
    <w:p>
      <w:pPr>
        <w:widowControl/>
        <w:spacing w:line="360" w:lineRule="auto"/>
        <w:ind w:firstLine="640" w:firstLineChars="200"/>
        <w:rPr>
          <w:rFonts w:ascii="仿宋" w:hAnsi="仿宋" w:eastAsia="仿宋"/>
          <w:sz w:val="32"/>
          <w:szCs w:val="32"/>
        </w:rPr>
      </w:pPr>
    </w:p>
    <w:p>
      <w:pPr>
        <w:widowControl/>
        <w:spacing w:line="360" w:lineRule="auto"/>
        <w:ind w:firstLine="640" w:firstLineChars="200"/>
        <w:rPr>
          <w:rFonts w:ascii="仿宋" w:hAnsi="仿宋" w:eastAsia="仿宋"/>
          <w:sz w:val="32"/>
          <w:szCs w:val="32"/>
        </w:rPr>
      </w:pPr>
      <w:r>
        <w:rPr>
          <w:rFonts w:hint="eastAsia" w:ascii="仿宋" w:hAnsi="仿宋" w:eastAsia="仿宋"/>
          <w:sz w:val="32"/>
          <w:szCs w:val="32"/>
        </w:rPr>
        <w:t>为</w:t>
      </w:r>
      <w:r>
        <w:rPr>
          <w:rFonts w:ascii="仿宋" w:hAnsi="仿宋" w:eastAsia="仿宋"/>
          <w:sz w:val="32"/>
          <w:szCs w:val="32"/>
        </w:rPr>
        <w:t>全面落实《国家中长期科学和技术发展规划纲要(</w:t>
      </w:r>
      <w:r>
        <w:rPr>
          <w:rFonts w:ascii="Times New Roman" w:hAnsi="Times New Roman" w:eastAsia="仿宋" w:cs="Times New Roman"/>
          <w:sz w:val="32"/>
          <w:szCs w:val="32"/>
        </w:rPr>
        <w:t>2006-2020</w:t>
      </w:r>
      <w:r>
        <w:rPr>
          <w:rFonts w:ascii="仿宋" w:hAnsi="仿宋" w:eastAsia="仿宋"/>
          <w:sz w:val="32"/>
          <w:szCs w:val="32"/>
        </w:rPr>
        <w:t>年)》优先主题和《食品安全法》“国家鼓励和支持开展与食品安全有关的基础研究、应用研究，鼓励和支持食品生产经营者为提高食品安全水平采用先进技术和先进管理规范”要求</w:t>
      </w:r>
      <w:r>
        <w:rPr>
          <w:rFonts w:hint="eastAsia" w:ascii="仿宋" w:hAnsi="仿宋" w:eastAsia="仿宋"/>
          <w:sz w:val="32"/>
          <w:szCs w:val="32"/>
        </w:rPr>
        <w:t>，根据科技部“关于做好</w:t>
      </w:r>
      <w:r>
        <w:rPr>
          <w:rFonts w:hint="eastAsia" w:ascii="Times New Roman" w:hAnsi="Times New Roman" w:eastAsia="仿宋" w:cs="Times New Roman"/>
          <w:sz w:val="32"/>
          <w:szCs w:val="32"/>
        </w:rPr>
        <w:t>2017</w:t>
      </w:r>
      <w:r>
        <w:rPr>
          <w:rFonts w:hint="eastAsia" w:ascii="仿宋" w:hAnsi="仿宋" w:eastAsia="仿宋"/>
          <w:sz w:val="32"/>
          <w:szCs w:val="32"/>
        </w:rPr>
        <w:t>年度下半年重点研发计划”核心专家库建设的通知，为提升“食品安全关键技术研发”重点研发专项管理质量、管理水平、管理效率，优化专家资源、强化专家管理，组建规范性强、针对性强、实用性好、高层次高质量的科技管理咨询专家库，依据“食品安全关键技术研发”实施方案和申报指南，特制定如下核心专家库建设方案。</w:t>
      </w:r>
    </w:p>
    <w:p>
      <w:pPr>
        <w:spacing w:line="360" w:lineRule="auto"/>
        <w:rPr>
          <w:rFonts w:ascii="黑体" w:hAnsi="黑体" w:eastAsia="黑体"/>
          <w:sz w:val="32"/>
          <w:szCs w:val="32"/>
        </w:rPr>
      </w:pPr>
      <w:r>
        <w:rPr>
          <w:rFonts w:hint="eastAsia" w:ascii="黑体" w:hAnsi="黑体" w:eastAsia="黑体"/>
          <w:sz w:val="32"/>
          <w:szCs w:val="32"/>
        </w:rPr>
        <w:t>一、建设要求</w:t>
      </w:r>
    </w:p>
    <w:p>
      <w:pPr>
        <w:spacing w:line="360" w:lineRule="auto"/>
        <w:ind w:firstLine="640"/>
        <w:rPr>
          <w:rFonts w:ascii="仿宋" w:hAnsi="仿宋" w:eastAsia="仿宋"/>
          <w:sz w:val="32"/>
          <w:szCs w:val="32"/>
        </w:rPr>
      </w:pPr>
      <w:r>
        <w:rPr>
          <w:rFonts w:hint="eastAsia" w:ascii="Times New Roman" w:hAnsi="Times New Roman" w:eastAsia="仿宋" w:cs="Times New Roman"/>
          <w:sz w:val="32"/>
          <w:szCs w:val="32"/>
        </w:rPr>
        <w:t>1</w:t>
      </w:r>
      <w:r>
        <w:rPr>
          <w:rFonts w:hint="eastAsia" w:ascii="楷体" w:hAnsi="楷体" w:eastAsia="楷体"/>
          <w:b/>
          <w:sz w:val="32"/>
          <w:szCs w:val="32"/>
        </w:rPr>
        <w:t>．针对性强。</w:t>
      </w:r>
      <w:r>
        <w:rPr>
          <w:rFonts w:ascii="仿宋" w:hAnsi="仿宋" w:eastAsia="仿宋"/>
          <w:sz w:val="32"/>
          <w:szCs w:val="32"/>
        </w:rPr>
        <w:t>按照全链</w:t>
      </w:r>
      <w:r>
        <w:rPr>
          <w:rFonts w:hint="eastAsia" w:ascii="仿宋" w:hAnsi="仿宋" w:eastAsia="仿宋"/>
          <w:sz w:val="32"/>
          <w:szCs w:val="32"/>
        </w:rPr>
        <w:t>条</w:t>
      </w:r>
      <w:r>
        <w:rPr>
          <w:rFonts w:ascii="仿宋" w:hAnsi="仿宋" w:eastAsia="仿宋"/>
          <w:sz w:val="32"/>
          <w:szCs w:val="32"/>
        </w:rPr>
        <w:t>创新布局、一体化组织实施的思路</w:t>
      </w:r>
      <w:r>
        <w:rPr>
          <w:rFonts w:hint="eastAsia" w:ascii="仿宋" w:hAnsi="仿宋" w:eastAsia="仿宋"/>
          <w:sz w:val="32"/>
          <w:szCs w:val="32"/>
        </w:rPr>
        <w:t>，强调专家层次高、学科领域全，在专家数量、专业、领域等方面切实满足“食品安全关键技术研发”重点研发专项评审的需要。</w:t>
      </w:r>
    </w:p>
    <w:p>
      <w:pPr>
        <w:spacing w:line="360" w:lineRule="auto"/>
        <w:ind w:firstLine="640"/>
        <w:rPr>
          <w:rFonts w:ascii="仿宋" w:hAnsi="仿宋" w:eastAsia="仿宋"/>
          <w:sz w:val="32"/>
          <w:szCs w:val="32"/>
        </w:rPr>
      </w:pPr>
      <w:r>
        <w:rPr>
          <w:rFonts w:hint="eastAsia" w:ascii="Times New Roman" w:hAnsi="Times New Roman" w:eastAsia="仿宋" w:cs="Times New Roman"/>
          <w:sz w:val="32"/>
          <w:szCs w:val="32"/>
        </w:rPr>
        <w:t>2</w:t>
      </w:r>
      <w:r>
        <w:rPr>
          <w:rFonts w:hint="eastAsia" w:ascii="楷体" w:hAnsi="楷体" w:eastAsia="楷体"/>
          <w:b/>
          <w:sz w:val="32"/>
          <w:szCs w:val="32"/>
        </w:rPr>
        <w:t>．覆盖面广。</w:t>
      </w:r>
      <w:r>
        <w:rPr>
          <w:rFonts w:hint="eastAsia" w:ascii="仿宋" w:hAnsi="仿宋" w:eastAsia="仿宋"/>
          <w:sz w:val="32"/>
          <w:szCs w:val="32"/>
        </w:rPr>
        <w:t>根据“食品安全关键技术研发”重点专项研发全链条布局的特点，要求专家的专业背景和研究领域能充分满足和完全覆盖“食品安全关键技术研发”实施方案和申报指南。</w:t>
      </w:r>
    </w:p>
    <w:p>
      <w:pPr>
        <w:spacing w:line="360" w:lineRule="auto"/>
        <w:ind w:firstLine="640"/>
        <w:rPr>
          <w:rFonts w:ascii="仿宋" w:hAnsi="仿宋" w:eastAsia="仿宋"/>
          <w:sz w:val="32"/>
          <w:szCs w:val="32"/>
        </w:rPr>
      </w:pPr>
      <w:r>
        <w:rPr>
          <w:rFonts w:hint="eastAsia" w:ascii="Times New Roman" w:hAnsi="Times New Roman" w:eastAsia="仿宋" w:cs="Times New Roman"/>
          <w:sz w:val="32"/>
          <w:szCs w:val="32"/>
        </w:rPr>
        <w:t>3</w:t>
      </w:r>
      <w:r>
        <w:rPr>
          <w:rFonts w:hint="eastAsia" w:ascii="楷体" w:hAnsi="楷体" w:eastAsia="楷体"/>
          <w:b/>
          <w:sz w:val="32"/>
          <w:szCs w:val="32"/>
        </w:rPr>
        <w:t>．精细化，各类型专家比例适当。</w:t>
      </w:r>
      <w:r>
        <w:rPr>
          <w:rFonts w:hint="eastAsia" w:ascii="仿宋" w:hAnsi="仿宋" w:eastAsia="仿宋"/>
          <w:sz w:val="32"/>
          <w:szCs w:val="32"/>
        </w:rPr>
        <w:t>鉴于“食品安全关键技术研发</w:t>
      </w:r>
      <w:r>
        <w:rPr>
          <w:rFonts w:ascii="仿宋" w:hAnsi="仿宋" w:eastAsia="仿宋"/>
          <w:sz w:val="32"/>
          <w:szCs w:val="32"/>
        </w:rPr>
        <w:t>专</w:t>
      </w:r>
      <w:r>
        <w:rPr>
          <w:rFonts w:hint="eastAsia" w:ascii="仿宋" w:hAnsi="仿宋" w:eastAsia="仿宋"/>
          <w:sz w:val="32"/>
          <w:szCs w:val="32"/>
        </w:rPr>
        <w:t>项”在共性关键技术和产业化示范领域有所涉及，因此核心专家库不仅包含</w:t>
      </w:r>
      <w:r>
        <w:rPr>
          <w:rFonts w:ascii="仿宋" w:hAnsi="仿宋" w:eastAsia="仿宋"/>
          <w:sz w:val="32"/>
          <w:szCs w:val="32"/>
        </w:rPr>
        <w:t>技术专家、</w:t>
      </w:r>
      <w:r>
        <w:rPr>
          <w:rFonts w:hint="eastAsia" w:ascii="仿宋" w:hAnsi="仿宋" w:eastAsia="仿宋"/>
          <w:sz w:val="32"/>
          <w:szCs w:val="32"/>
        </w:rPr>
        <w:t>也需要包含一定比例的</w:t>
      </w:r>
      <w:r>
        <w:rPr>
          <w:rFonts w:ascii="仿宋" w:hAnsi="仿宋" w:eastAsia="仿宋"/>
          <w:sz w:val="32"/>
          <w:szCs w:val="32"/>
        </w:rPr>
        <w:t>管理专家、</w:t>
      </w:r>
      <w:r>
        <w:rPr>
          <w:rFonts w:hint="eastAsia" w:ascii="仿宋" w:hAnsi="仿宋" w:eastAsia="仿宋"/>
          <w:sz w:val="32"/>
          <w:szCs w:val="32"/>
        </w:rPr>
        <w:t>行业精英</w:t>
      </w:r>
      <w:r>
        <w:rPr>
          <w:rFonts w:ascii="仿宋" w:hAnsi="仿宋" w:eastAsia="仿宋"/>
          <w:sz w:val="32"/>
          <w:szCs w:val="32"/>
        </w:rPr>
        <w:t>等，</w:t>
      </w:r>
      <w:r>
        <w:rPr>
          <w:rFonts w:hint="eastAsia" w:ascii="仿宋" w:hAnsi="仿宋" w:eastAsia="仿宋"/>
          <w:sz w:val="32"/>
          <w:szCs w:val="32"/>
        </w:rPr>
        <w:t>并</w:t>
      </w:r>
      <w:r>
        <w:rPr>
          <w:rFonts w:ascii="仿宋" w:hAnsi="仿宋" w:eastAsia="仿宋"/>
          <w:sz w:val="32"/>
          <w:szCs w:val="32"/>
        </w:rPr>
        <w:t>实行动态调整机制。</w:t>
      </w:r>
      <w:r>
        <w:rPr>
          <w:rFonts w:hint="eastAsia" w:ascii="仿宋" w:hAnsi="仿宋" w:eastAsia="仿宋"/>
          <w:sz w:val="32"/>
          <w:szCs w:val="32"/>
        </w:rPr>
        <w:t>充分考虑高等院校、研究院所、知名企业以及行业监管机构的专业侧重点和人数比例。</w:t>
      </w:r>
    </w:p>
    <w:p>
      <w:pPr>
        <w:spacing w:line="360" w:lineRule="auto"/>
        <w:ind w:firstLine="640"/>
        <w:rPr>
          <w:rFonts w:ascii="仿宋" w:hAnsi="仿宋" w:eastAsia="仿宋"/>
          <w:sz w:val="32"/>
          <w:szCs w:val="32"/>
        </w:rPr>
      </w:pPr>
      <w:r>
        <w:rPr>
          <w:rFonts w:hint="eastAsia" w:ascii="Times New Roman" w:hAnsi="Times New Roman" w:eastAsia="仿宋" w:cs="Times New Roman"/>
          <w:sz w:val="32"/>
          <w:szCs w:val="32"/>
        </w:rPr>
        <w:t>4</w:t>
      </w:r>
      <w:r>
        <w:rPr>
          <w:rFonts w:hint="eastAsia" w:ascii="楷体" w:hAnsi="楷体" w:eastAsia="楷体"/>
          <w:b/>
          <w:sz w:val="32"/>
          <w:szCs w:val="32"/>
        </w:rPr>
        <w:t>．信息准确。</w:t>
      </w:r>
      <w:r>
        <w:rPr>
          <w:rFonts w:hint="eastAsia" w:ascii="仿宋" w:hAnsi="仿宋" w:eastAsia="仿宋"/>
          <w:sz w:val="32"/>
          <w:szCs w:val="32"/>
        </w:rPr>
        <w:t>专家信息要求准确可靠，时效性强且及时更新。核心专家库建立后，应根据年度指南方针，持续补充、不断调整和完善。</w:t>
      </w:r>
    </w:p>
    <w:p>
      <w:pPr>
        <w:spacing w:line="360" w:lineRule="auto"/>
        <w:ind w:firstLine="640"/>
        <w:rPr>
          <w:rFonts w:ascii="仿宋" w:hAnsi="仿宋" w:eastAsia="仿宋"/>
          <w:sz w:val="32"/>
          <w:szCs w:val="32"/>
        </w:rPr>
      </w:pPr>
      <w:r>
        <w:rPr>
          <w:rFonts w:hint="eastAsia" w:ascii="Times New Roman" w:hAnsi="Times New Roman" w:eastAsia="仿宋" w:cs="Times New Roman"/>
          <w:sz w:val="32"/>
          <w:szCs w:val="32"/>
        </w:rPr>
        <w:t>5</w:t>
      </w:r>
      <w:r>
        <w:rPr>
          <w:rFonts w:hint="eastAsia" w:ascii="楷体" w:hAnsi="楷体" w:eastAsia="楷体"/>
          <w:b/>
          <w:sz w:val="32"/>
          <w:szCs w:val="32"/>
        </w:rPr>
        <w:t>．代表性强。</w:t>
      </w:r>
      <w:r>
        <w:rPr>
          <w:rFonts w:hint="eastAsia" w:ascii="仿宋" w:hAnsi="仿宋" w:eastAsia="仿宋"/>
          <w:sz w:val="32"/>
          <w:szCs w:val="32"/>
        </w:rPr>
        <w:t>鉴于专项设食品安全保障机理机制基础研究、</w:t>
      </w:r>
      <w:bookmarkStart w:id="0" w:name="OLE_LINK1"/>
      <w:r>
        <w:rPr>
          <w:rFonts w:hint="eastAsia" w:ascii="仿宋" w:hAnsi="仿宋" w:eastAsia="仿宋"/>
          <w:sz w:val="32"/>
          <w:szCs w:val="32"/>
        </w:rPr>
        <w:t>食品安全关键共性技术和产品研发</w:t>
      </w:r>
      <w:bookmarkEnd w:id="0"/>
      <w:r>
        <w:rPr>
          <w:rFonts w:hint="eastAsia" w:ascii="仿宋" w:hAnsi="仿宋" w:eastAsia="仿宋"/>
          <w:sz w:val="32"/>
          <w:szCs w:val="32"/>
        </w:rPr>
        <w:t>、食品安全关键技术转化集成和综合示范等三个任务，专家遴选入库时要充分注意基础学科与产业化专业的比例分配。技术转化集成和综合示范此类项目的评审中，企事业界专家原则上要</w:t>
      </w:r>
      <w:r>
        <w:rPr>
          <w:rFonts w:hint="eastAsia" w:ascii="Times New Roman" w:hAnsi="Times New Roman" w:eastAsia="仿宋" w:cs="Times New Roman"/>
          <w:sz w:val="32"/>
          <w:szCs w:val="32"/>
        </w:rPr>
        <w:t>占15%</w:t>
      </w:r>
      <w:r>
        <w:rPr>
          <w:rFonts w:hint="eastAsia" w:ascii="仿宋" w:hAnsi="仿宋" w:eastAsia="仿宋"/>
          <w:sz w:val="32"/>
          <w:szCs w:val="32"/>
        </w:rPr>
        <w:t>以上的比例。</w:t>
      </w:r>
    </w:p>
    <w:p>
      <w:pPr>
        <w:spacing w:line="360" w:lineRule="auto"/>
        <w:rPr>
          <w:rFonts w:ascii="黑体" w:hAnsi="黑体" w:eastAsia="黑体"/>
          <w:sz w:val="32"/>
          <w:szCs w:val="32"/>
        </w:rPr>
      </w:pPr>
      <w:r>
        <w:rPr>
          <w:rFonts w:hint="eastAsia" w:ascii="黑体" w:hAnsi="黑体" w:eastAsia="黑体"/>
          <w:sz w:val="32"/>
          <w:szCs w:val="32"/>
        </w:rPr>
        <w:t>二、建设规模</w:t>
      </w:r>
    </w:p>
    <w:p>
      <w:pPr>
        <w:spacing w:line="360" w:lineRule="auto"/>
        <w:ind w:firstLine="640"/>
        <w:rPr>
          <w:rFonts w:ascii="仿宋" w:hAnsi="仿宋" w:eastAsia="仿宋"/>
          <w:sz w:val="32"/>
          <w:szCs w:val="32"/>
        </w:rPr>
      </w:pPr>
      <w:r>
        <w:rPr>
          <w:rFonts w:hint="eastAsia" w:ascii="仿宋" w:hAnsi="仿宋" w:eastAsia="仿宋"/>
          <w:sz w:val="32"/>
          <w:szCs w:val="32"/>
        </w:rPr>
        <w:t>“食品安全关键技术研发”专项核心专家库人选应由国内外著名院校、研究院所、知名企业、行业监管机构中具有较强的专业知识和丰富实践经验的学者或专家组成。原则上核心专家库规模</w:t>
      </w:r>
      <w:r>
        <w:rPr>
          <w:rFonts w:hint="eastAsia" w:ascii="Times New Roman" w:hAnsi="Times New Roman" w:eastAsia="仿宋" w:cs="Times New Roman"/>
          <w:sz w:val="32"/>
          <w:szCs w:val="32"/>
        </w:rPr>
        <w:t>500-2000人，分类标识不超过10个，每个标识不少于100人</w:t>
      </w:r>
      <w:r>
        <w:rPr>
          <w:rFonts w:hint="eastAsia" w:ascii="仿宋" w:hAnsi="仿宋" w:eastAsia="仿宋"/>
          <w:sz w:val="32"/>
          <w:szCs w:val="32"/>
        </w:rPr>
        <w:t>。</w:t>
      </w:r>
    </w:p>
    <w:p>
      <w:pPr>
        <w:spacing w:line="360" w:lineRule="auto"/>
        <w:rPr>
          <w:rFonts w:ascii="黑体" w:hAnsi="黑体" w:eastAsia="黑体"/>
          <w:sz w:val="32"/>
          <w:szCs w:val="32"/>
        </w:rPr>
      </w:pPr>
      <w:r>
        <w:rPr>
          <w:rFonts w:hint="eastAsia" w:ascii="黑体" w:hAnsi="黑体" w:eastAsia="黑体"/>
          <w:sz w:val="32"/>
          <w:szCs w:val="32"/>
        </w:rPr>
        <w:t>三、专家遴选条件</w:t>
      </w:r>
    </w:p>
    <w:p>
      <w:pPr>
        <w:spacing w:line="360" w:lineRule="auto"/>
        <w:rPr>
          <w:rFonts w:ascii="仿宋" w:hAnsi="仿宋" w:eastAsia="仿宋"/>
          <w:sz w:val="32"/>
          <w:szCs w:val="32"/>
        </w:rPr>
      </w:pPr>
      <w:r>
        <w:rPr>
          <w:rFonts w:hint="eastAsia" w:ascii="仿宋" w:hAnsi="仿宋" w:eastAsia="仿宋"/>
          <w:sz w:val="32"/>
          <w:szCs w:val="32"/>
        </w:rPr>
        <w:t xml:space="preserve">    </w:t>
      </w:r>
      <w:r>
        <w:rPr>
          <w:rFonts w:hint="eastAsia" w:ascii="Times New Roman" w:hAnsi="Times New Roman" w:eastAsia="仿宋" w:cs="Times New Roman"/>
          <w:sz w:val="32"/>
          <w:szCs w:val="32"/>
        </w:rPr>
        <w:t>1</w:t>
      </w:r>
      <w:r>
        <w:rPr>
          <w:rFonts w:hint="eastAsia" w:ascii="仿宋" w:hAnsi="仿宋" w:eastAsia="仿宋"/>
          <w:sz w:val="32"/>
          <w:szCs w:val="32"/>
        </w:rPr>
        <w:t>. 专家具有较高的专业水平和学术造诣，客观公正、信誉良好，具备评审国家重点研发计划的能力和水平。</w:t>
      </w:r>
    </w:p>
    <w:p>
      <w:pPr>
        <w:spacing w:line="360" w:lineRule="auto"/>
        <w:rPr>
          <w:rFonts w:ascii="仿宋" w:hAnsi="仿宋" w:eastAsia="仿宋"/>
          <w:sz w:val="32"/>
          <w:szCs w:val="32"/>
        </w:rPr>
      </w:pPr>
      <w:r>
        <w:rPr>
          <w:rFonts w:hint="eastAsia" w:ascii="仿宋" w:hAnsi="仿宋" w:eastAsia="仿宋"/>
          <w:sz w:val="32"/>
          <w:szCs w:val="32"/>
        </w:rPr>
        <w:t xml:space="preserve">    </w:t>
      </w:r>
      <w:r>
        <w:rPr>
          <w:rFonts w:hint="eastAsia" w:ascii="Times New Roman" w:hAnsi="Times New Roman" w:eastAsia="仿宋" w:cs="Times New Roman"/>
          <w:sz w:val="32"/>
          <w:szCs w:val="32"/>
        </w:rPr>
        <w:t>2</w:t>
      </w:r>
      <w:r>
        <w:rPr>
          <w:rFonts w:hint="eastAsia" w:ascii="仿宋" w:hAnsi="仿宋" w:eastAsia="仿宋"/>
          <w:sz w:val="32"/>
          <w:szCs w:val="32"/>
        </w:rPr>
        <w:t>. 符合“食品安全关键技术研发”专项指南的技术方向，满足评审要求，注重吸纳企业专家、香港、澳门和海外专家参与。</w:t>
      </w:r>
    </w:p>
    <w:p>
      <w:pPr>
        <w:spacing w:line="360" w:lineRule="auto"/>
        <w:rPr>
          <w:rFonts w:ascii="仿宋" w:hAnsi="仿宋" w:eastAsia="仿宋"/>
          <w:sz w:val="32"/>
          <w:szCs w:val="32"/>
        </w:rPr>
      </w:pPr>
      <w:r>
        <w:rPr>
          <w:rFonts w:hint="eastAsia" w:ascii="仿宋" w:hAnsi="仿宋" w:eastAsia="仿宋"/>
          <w:sz w:val="32"/>
          <w:szCs w:val="32"/>
        </w:rPr>
        <w:t xml:space="preserve">    </w:t>
      </w:r>
      <w:r>
        <w:rPr>
          <w:rFonts w:hint="eastAsia" w:ascii="Times New Roman" w:hAnsi="Times New Roman" w:eastAsia="仿宋" w:cs="Times New Roman"/>
          <w:sz w:val="32"/>
          <w:szCs w:val="32"/>
        </w:rPr>
        <w:t>3</w:t>
      </w:r>
      <w:r>
        <w:rPr>
          <w:rFonts w:hint="eastAsia" w:ascii="仿宋" w:hAnsi="仿宋" w:eastAsia="仿宋"/>
          <w:sz w:val="32"/>
          <w:szCs w:val="32"/>
        </w:rPr>
        <w:t>. 入库专家原则上应具有正高职称，企业专家、研究成果突出的优秀青年学者可适当放宽条件。</w:t>
      </w:r>
    </w:p>
    <w:p>
      <w:pPr>
        <w:spacing w:line="360" w:lineRule="auto"/>
        <w:rPr>
          <w:rFonts w:ascii="仿宋" w:hAnsi="仿宋" w:eastAsia="仿宋"/>
          <w:sz w:val="32"/>
          <w:szCs w:val="32"/>
        </w:rPr>
      </w:pPr>
      <w:r>
        <w:rPr>
          <w:rFonts w:hint="eastAsia" w:ascii="仿宋" w:hAnsi="仿宋" w:eastAsia="仿宋"/>
          <w:sz w:val="32"/>
          <w:szCs w:val="32"/>
        </w:rPr>
        <w:t xml:space="preserve">    满足下列条件之一可优先入选专家库：</w:t>
      </w:r>
      <w:r>
        <w:rPr>
          <w:rFonts w:hint="eastAsia" w:ascii="Times New Roman" w:hAnsi="Times New Roman" w:eastAsia="仿宋" w:cs="Times New Roman"/>
          <w:sz w:val="32"/>
          <w:szCs w:val="32"/>
        </w:rPr>
        <w:t>1）</w:t>
      </w:r>
      <w:r>
        <w:rPr>
          <w:rFonts w:hint="eastAsia" w:ascii="仿宋" w:hAnsi="仿宋" w:eastAsia="仿宋"/>
          <w:sz w:val="32"/>
          <w:szCs w:val="32"/>
        </w:rPr>
        <w:t>获得过两院院士、千人计划、万人计划、国家杰青、长江学者等荣誉，</w:t>
      </w:r>
      <w:r>
        <w:rPr>
          <w:rFonts w:hint="eastAsia" w:ascii="Times New Roman" w:hAnsi="Times New Roman" w:eastAsia="仿宋" w:cs="Times New Roman"/>
          <w:sz w:val="32"/>
          <w:szCs w:val="32"/>
        </w:rPr>
        <w:t>2）</w:t>
      </w:r>
      <w:r>
        <w:rPr>
          <w:rFonts w:hint="eastAsia" w:ascii="仿宋" w:hAnsi="仿宋" w:eastAsia="仿宋"/>
          <w:sz w:val="32"/>
          <w:szCs w:val="32"/>
        </w:rPr>
        <w:t>获得省部级科技奖励二等奖以上（排名前二）或国家科技奖励二等奖（排名前三）及以上，</w:t>
      </w:r>
      <w:r>
        <w:rPr>
          <w:rFonts w:hint="eastAsia" w:ascii="Times New Roman" w:hAnsi="Times New Roman" w:eastAsia="仿宋" w:cs="Times New Roman"/>
          <w:sz w:val="32"/>
          <w:szCs w:val="32"/>
        </w:rPr>
        <w:t>3）5</w:t>
      </w:r>
      <w:r>
        <w:rPr>
          <w:rFonts w:hint="eastAsia" w:ascii="仿宋" w:hAnsi="仿宋" w:eastAsia="仿宋"/>
          <w:sz w:val="32"/>
          <w:szCs w:val="32"/>
        </w:rPr>
        <w:t>年内作为项目负责人承担过</w:t>
      </w:r>
      <w:r>
        <w:rPr>
          <w:rFonts w:hint="eastAsia" w:ascii="Times New Roman" w:hAnsi="Times New Roman" w:eastAsia="仿宋" w:cs="Times New Roman"/>
          <w:sz w:val="32"/>
          <w:szCs w:val="32"/>
        </w:rPr>
        <w:t>863、973、</w:t>
      </w:r>
      <w:r>
        <w:rPr>
          <w:rFonts w:hint="eastAsia" w:ascii="仿宋" w:hAnsi="仿宋" w:eastAsia="仿宋"/>
          <w:sz w:val="32"/>
          <w:szCs w:val="32"/>
        </w:rPr>
        <w:t>科技重大专项、科技支撑计划、重点研发计划等国家科技计划项目等。</w:t>
      </w:r>
    </w:p>
    <w:p>
      <w:pPr>
        <w:spacing w:line="360" w:lineRule="auto"/>
        <w:rPr>
          <w:rFonts w:ascii="黑体" w:hAnsi="黑体" w:eastAsia="黑体"/>
          <w:sz w:val="32"/>
          <w:szCs w:val="32"/>
        </w:rPr>
      </w:pPr>
      <w:r>
        <w:rPr>
          <w:rFonts w:hint="eastAsia" w:ascii="黑体" w:hAnsi="黑体" w:eastAsia="黑体"/>
          <w:sz w:val="32"/>
          <w:szCs w:val="32"/>
        </w:rPr>
        <w:t>四、专家标识和分类指导意见</w:t>
      </w:r>
    </w:p>
    <w:p>
      <w:pPr>
        <w:spacing w:line="360" w:lineRule="auto"/>
        <w:ind w:firstLine="640"/>
        <w:rPr>
          <w:rFonts w:ascii="仿宋" w:hAnsi="仿宋" w:eastAsia="仿宋"/>
          <w:sz w:val="32"/>
          <w:szCs w:val="32"/>
        </w:rPr>
      </w:pPr>
      <w:r>
        <w:rPr>
          <w:rFonts w:hint="eastAsia" w:ascii="仿宋" w:hAnsi="仿宋" w:eastAsia="仿宋"/>
          <w:sz w:val="32"/>
          <w:szCs w:val="32"/>
        </w:rPr>
        <w:t>根据“食品安全关键技术研发”重点专项的研发链条特点，依据实施方案中食品安全保障机理机制基础研究、食品安全关键共性技术和产品研发、食品安全关键技术转化集成和综合示范等三个任务要求，结合实施方案和申报指南，为入库专家做好分类标识。分类标识应充分考虑和依据专家专业背景、研究方向以及主要业绩来制定。分类标识上本着少而精的原则，既要满足需要，便于检索；也要考虑专业性和科学性。分类标识的制定主要遵循以下原则。</w:t>
      </w:r>
    </w:p>
    <w:p>
      <w:pPr>
        <w:spacing w:line="360" w:lineRule="auto"/>
        <w:rPr>
          <w:rFonts w:ascii="仿宋" w:hAnsi="仿宋" w:eastAsia="仿宋"/>
          <w:sz w:val="32"/>
          <w:szCs w:val="32"/>
        </w:rPr>
      </w:pPr>
      <w:r>
        <w:rPr>
          <w:rFonts w:hint="eastAsia" w:ascii="仿宋" w:hAnsi="仿宋" w:eastAsia="仿宋"/>
          <w:sz w:val="32"/>
          <w:szCs w:val="32"/>
        </w:rPr>
        <w:t xml:space="preserve">  </w:t>
      </w:r>
      <w:r>
        <w:rPr>
          <w:rFonts w:ascii="Times New Roman" w:hAnsi="Times New Roman" w:eastAsia="仿宋" w:cs="Times New Roman"/>
          <w:sz w:val="32"/>
          <w:szCs w:val="32"/>
        </w:rPr>
        <w:t xml:space="preserve"> </w:t>
      </w:r>
      <w:r>
        <w:rPr>
          <w:rFonts w:hint="eastAsia" w:ascii="Times New Roman" w:hAnsi="Times New Roman" w:eastAsia="仿宋" w:cs="Times New Roman"/>
          <w:sz w:val="32"/>
          <w:szCs w:val="32"/>
        </w:rPr>
        <w:t xml:space="preserve"> </w:t>
      </w:r>
      <w:r>
        <w:rPr>
          <w:rFonts w:ascii="Times New Roman" w:hAnsi="Times New Roman" w:eastAsia="仿宋" w:cs="Times New Roman"/>
          <w:b/>
          <w:sz w:val="32"/>
          <w:szCs w:val="32"/>
        </w:rPr>
        <w:t>1</w:t>
      </w:r>
      <w:r>
        <w:rPr>
          <w:rFonts w:hint="eastAsia" w:ascii="Times New Roman" w:hAnsi="Times New Roman" w:eastAsia="仿宋" w:cs="Times New Roman"/>
          <w:b/>
          <w:sz w:val="32"/>
          <w:szCs w:val="32"/>
        </w:rPr>
        <w:t>．</w:t>
      </w:r>
      <w:r>
        <w:rPr>
          <w:rFonts w:hint="eastAsia" w:ascii="仿宋" w:hAnsi="仿宋" w:eastAsia="仿宋"/>
          <w:b/>
          <w:sz w:val="32"/>
          <w:szCs w:val="32"/>
        </w:rPr>
        <w:t>全局性。</w:t>
      </w:r>
      <w:r>
        <w:rPr>
          <w:rFonts w:ascii="仿宋" w:hAnsi="仿宋" w:eastAsia="仿宋"/>
          <w:sz w:val="32"/>
          <w:szCs w:val="32"/>
        </w:rPr>
        <w:t>突出从基础前沿、重大共性关键技术到应用示范进行全链条创新设计，一体化组织实施</w:t>
      </w:r>
      <w:r>
        <w:rPr>
          <w:rFonts w:hint="eastAsia" w:ascii="仿宋" w:hAnsi="仿宋" w:eastAsia="仿宋"/>
          <w:sz w:val="32"/>
          <w:szCs w:val="32"/>
        </w:rPr>
        <w:t>的思路，各分类标识要有明显区别，适应不同课题评审抽签需要</w:t>
      </w:r>
      <w:r>
        <w:rPr>
          <w:rFonts w:ascii="仿宋" w:hAnsi="仿宋" w:eastAsia="仿宋"/>
          <w:sz w:val="32"/>
          <w:szCs w:val="32"/>
        </w:rPr>
        <w:t>。</w:t>
      </w:r>
    </w:p>
    <w:p>
      <w:pPr>
        <w:spacing w:line="360" w:lineRule="auto"/>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 xml:space="preserve"> </w:t>
      </w:r>
      <w:r>
        <w:rPr>
          <w:rFonts w:hint="eastAsia" w:ascii="仿宋" w:hAnsi="仿宋" w:eastAsia="仿宋"/>
          <w:sz w:val="32"/>
          <w:szCs w:val="32"/>
        </w:rPr>
        <w:t xml:space="preserve"> </w:t>
      </w:r>
      <w:r>
        <w:rPr>
          <w:rFonts w:hint="eastAsia" w:ascii="Times New Roman" w:hAnsi="Times New Roman" w:eastAsia="仿宋" w:cs="Times New Roman"/>
          <w:b/>
          <w:sz w:val="32"/>
          <w:szCs w:val="32"/>
        </w:rPr>
        <w:t>2</w:t>
      </w:r>
      <w:r>
        <w:rPr>
          <w:rFonts w:ascii="Times New Roman" w:hAnsi="Times New Roman" w:eastAsia="仿宋" w:cs="Times New Roman"/>
          <w:b/>
          <w:sz w:val="32"/>
          <w:szCs w:val="32"/>
        </w:rPr>
        <w:t xml:space="preserve">. </w:t>
      </w:r>
      <w:r>
        <w:rPr>
          <w:rFonts w:hint="eastAsia" w:ascii="Times New Roman" w:hAnsi="Times New Roman" w:eastAsia="仿宋" w:cs="Times New Roman"/>
          <w:b/>
          <w:sz w:val="32"/>
          <w:szCs w:val="32"/>
        </w:rPr>
        <w:t>科学性。</w:t>
      </w:r>
      <w:r>
        <w:rPr>
          <w:rFonts w:hint="eastAsia" w:ascii="仿宋" w:hAnsi="仿宋" w:eastAsia="仿宋"/>
          <w:sz w:val="32"/>
          <w:szCs w:val="32"/>
        </w:rPr>
        <w:t>分类标签应符合链条式特点，各分类标识之间要注意衔接。专业机构需严格对照实施方案和指南，充分参考食品科学等相关专业一级学科及其下设的二级学科命名来制定分类标识，保证分类标识的</w:t>
      </w:r>
      <w:r>
        <w:rPr>
          <w:rFonts w:ascii="仿宋" w:hAnsi="仿宋" w:eastAsia="仿宋"/>
          <w:sz w:val="32"/>
          <w:szCs w:val="32"/>
        </w:rPr>
        <w:t>专业化、规范化、精细化</w:t>
      </w:r>
      <w:r>
        <w:rPr>
          <w:rFonts w:hint="eastAsia" w:ascii="仿宋" w:hAnsi="仿宋" w:eastAsia="仿宋"/>
          <w:sz w:val="32"/>
          <w:szCs w:val="32"/>
        </w:rPr>
        <w:t>。</w:t>
      </w:r>
    </w:p>
    <w:p>
      <w:pPr>
        <w:widowControl/>
        <w:autoSpaceDE w:val="0"/>
        <w:autoSpaceDN w:val="0"/>
        <w:adjustRightInd w:val="0"/>
        <w:spacing w:line="360" w:lineRule="auto"/>
        <w:jc w:val="left"/>
        <w:rPr>
          <w:rFonts w:ascii="仿宋" w:hAnsi="仿宋" w:eastAsia="仿宋"/>
          <w:sz w:val="32"/>
          <w:szCs w:val="32"/>
        </w:rPr>
      </w:pPr>
      <w:r>
        <w:rPr>
          <w:rFonts w:hint="eastAsia" w:ascii="仿宋" w:hAnsi="仿宋" w:eastAsia="仿宋"/>
          <w:sz w:val="32"/>
          <w:szCs w:val="32"/>
        </w:rPr>
        <w:t xml:space="preserve">    </w:t>
      </w:r>
      <w:r>
        <w:rPr>
          <w:rFonts w:hint="eastAsia" w:ascii="Times New Roman" w:hAnsi="Times New Roman" w:eastAsia="仿宋" w:cs="Times New Roman"/>
          <w:b/>
          <w:sz w:val="32"/>
          <w:szCs w:val="32"/>
        </w:rPr>
        <w:t>3．兼容性。</w:t>
      </w:r>
      <w:r>
        <w:rPr>
          <w:rFonts w:hint="eastAsia" w:ascii="仿宋" w:hAnsi="仿宋" w:eastAsia="仿宋"/>
          <w:sz w:val="32"/>
          <w:szCs w:val="32"/>
        </w:rPr>
        <w:t>相同领域、相关领域、相近研发经验和背景的专家可以归属到一个分类标识，保证各分类标识中有足够的专家数量，便于抽签样本数足够大。</w:t>
      </w:r>
    </w:p>
    <w:p>
      <w:pPr>
        <w:widowControl/>
        <w:autoSpaceDE w:val="0"/>
        <w:autoSpaceDN w:val="0"/>
        <w:adjustRightInd w:val="0"/>
        <w:spacing w:line="360" w:lineRule="auto"/>
        <w:ind w:firstLine="630"/>
        <w:jc w:val="left"/>
        <w:rPr>
          <w:rFonts w:ascii="仿宋" w:hAnsi="仿宋" w:eastAsia="仿宋"/>
          <w:sz w:val="32"/>
          <w:szCs w:val="32"/>
        </w:rPr>
      </w:pPr>
      <w:r>
        <w:rPr>
          <w:rFonts w:hint="eastAsia" w:ascii="Times New Roman" w:hAnsi="Times New Roman" w:eastAsia="仿宋" w:cs="Times New Roman"/>
          <w:b/>
          <w:sz w:val="32"/>
          <w:szCs w:val="32"/>
        </w:rPr>
        <w:t>4．多标识。</w:t>
      </w:r>
      <w:r>
        <w:rPr>
          <w:rFonts w:hint="eastAsia" w:ascii="Times New Roman" w:hAnsi="Times New Roman" w:eastAsia="仿宋" w:cs="Times New Roman"/>
          <w:sz w:val="32"/>
          <w:szCs w:val="32"/>
        </w:rPr>
        <w:t>充分考虑</w:t>
      </w:r>
      <w:r>
        <w:rPr>
          <w:rFonts w:hint="eastAsia" w:ascii="仿宋" w:hAnsi="仿宋" w:eastAsia="仿宋"/>
          <w:sz w:val="32"/>
          <w:szCs w:val="32"/>
        </w:rPr>
        <w:t>专家的研究领域、研究方向、主要业绩及贡献，客观的分类到准确的标识，允许一个专家多个标识。</w:t>
      </w:r>
    </w:p>
    <w:p>
      <w:pPr>
        <w:widowControl/>
        <w:autoSpaceDE w:val="0"/>
        <w:autoSpaceDN w:val="0"/>
        <w:adjustRightInd w:val="0"/>
        <w:spacing w:line="360" w:lineRule="auto"/>
        <w:ind w:firstLine="630"/>
        <w:jc w:val="left"/>
        <w:rPr>
          <w:rFonts w:ascii="仿宋" w:hAnsi="仿宋" w:eastAsia="仿宋"/>
          <w:sz w:val="32"/>
          <w:szCs w:val="32"/>
        </w:rPr>
      </w:pPr>
    </w:p>
    <w:p>
      <w:pPr>
        <w:widowControl/>
        <w:autoSpaceDE w:val="0"/>
        <w:autoSpaceDN w:val="0"/>
        <w:adjustRightInd w:val="0"/>
        <w:spacing w:line="360" w:lineRule="auto"/>
        <w:ind w:firstLine="630"/>
        <w:jc w:val="left"/>
        <w:rPr>
          <w:rFonts w:ascii="仿宋" w:hAnsi="仿宋" w:eastAsia="仿宋"/>
          <w:sz w:val="32"/>
          <w:szCs w:val="32"/>
        </w:rPr>
      </w:pPr>
      <w:r>
        <w:rPr>
          <w:rFonts w:hint="eastAsia" w:ascii="仿宋" w:hAnsi="仿宋" w:eastAsia="仿宋"/>
          <w:sz w:val="32"/>
          <w:szCs w:val="32"/>
        </w:rPr>
        <w:t>附件：分类标识列表</w:t>
      </w:r>
    </w:p>
    <w:p>
      <w:pPr>
        <w:widowControl/>
        <w:autoSpaceDE w:val="0"/>
        <w:autoSpaceDN w:val="0"/>
        <w:adjustRightInd w:val="0"/>
        <w:spacing w:line="360" w:lineRule="auto"/>
        <w:ind w:firstLine="630"/>
        <w:jc w:val="left"/>
        <w:rPr>
          <w:rFonts w:ascii="仿宋" w:hAnsi="仿宋" w:eastAsia="仿宋"/>
          <w:sz w:val="32"/>
          <w:szCs w:val="32"/>
        </w:rPr>
      </w:pPr>
    </w:p>
    <w:p>
      <w:pPr>
        <w:widowControl/>
        <w:autoSpaceDE w:val="0"/>
        <w:autoSpaceDN w:val="0"/>
        <w:adjustRightInd w:val="0"/>
        <w:spacing w:line="360" w:lineRule="auto"/>
        <w:ind w:firstLine="630"/>
        <w:jc w:val="left"/>
        <w:rPr>
          <w:rFonts w:ascii="仿宋" w:hAnsi="仿宋" w:eastAsia="仿宋"/>
          <w:sz w:val="32"/>
          <w:szCs w:val="32"/>
        </w:rPr>
      </w:pPr>
    </w:p>
    <w:p>
      <w:pPr>
        <w:widowControl/>
        <w:autoSpaceDE w:val="0"/>
        <w:autoSpaceDN w:val="0"/>
        <w:adjustRightInd w:val="0"/>
        <w:spacing w:line="360" w:lineRule="auto"/>
        <w:ind w:firstLine="630"/>
        <w:jc w:val="left"/>
        <w:rPr>
          <w:rFonts w:ascii="仿宋" w:hAnsi="仿宋" w:eastAsia="仿宋"/>
          <w:sz w:val="32"/>
          <w:szCs w:val="32"/>
        </w:rPr>
      </w:pPr>
    </w:p>
    <w:p>
      <w:pPr>
        <w:rPr>
          <w:rFonts w:hint="eastAsia" w:ascii="仿宋" w:hAnsi="仿宋" w:eastAsia="仿宋"/>
          <w:b/>
          <w:sz w:val="32"/>
          <w:szCs w:val="32"/>
        </w:rPr>
      </w:pPr>
    </w:p>
    <w:p>
      <w:pPr>
        <w:rPr>
          <w:rFonts w:hint="eastAsia" w:ascii="仿宋" w:hAnsi="仿宋" w:eastAsia="仿宋"/>
          <w:b/>
          <w:sz w:val="32"/>
          <w:szCs w:val="32"/>
        </w:rPr>
      </w:pPr>
    </w:p>
    <w:p>
      <w:pPr>
        <w:rPr>
          <w:rFonts w:ascii="仿宋" w:hAnsi="仿宋" w:eastAsia="仿宋"/>
          <w:b/>
          <w:sz w:val="32"/>
          <w:szCs w:val="32"/>
        </w:rPr>
      </w:pPr>
      <w:r>
        <w:rPr>
          <w:rFonts w:hint="eastAsia" w:ascii="仿宋" w:hAnsi="仿宋" w:eastAsia="仿宋"/>
          <w:b/>
          <w:sz w:val="32"/>
          <w:szCs w:val="32"/>
        </w:rPr>
        <w:t>附件</w:t>
      </w:r>
    </w:p>
    <w:p>
      <w:pPr>
        <w:jc w:val="center"/>
        <w:rPr>
          <w:rFonts w:ascii="仿宋" w:hAnsi="仿宋" w:eastAsia="仿宋"/>
          <w:b/>
          <w:sz w:val="32"/>
          <w:szCs w:val="32"/>
        </w:rPr>
      </w:pPr>
      <w:r>
        <w:rPr>
          <w:rFonts w:hint="eastAsia" w:ascii="仿宋" w:hAnsi="仿宋" w:eastAsia="仿宋"/>
          <w:b/>
          <w:sz w:val="32"/>
          <w:szCs w:val="32"/>
        </w:rPr>
        <w:t>分类标识列表</w:t>
      </w:r>
    </w:p>
    <w:tbl>
      <w:tblPr>
        <w:tblStyle w:val="10"/>
        <w:tblW w:w="8170" w:type="dxa"/>
        <w:jc w:val="center"/>
        <w:tblInd w:w="1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7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b/>
                <w:color w:val="000000"/>
                <w:kern w:val="0"/>
                <w:sz w:val="28"/>
                <w:szCs w:val="28"/>
              </w:rPr>
            </w:pPr>
            <w:r>
              <w:rPr>
                <w:rFonts w:ascii="Times New Roman" w:hAnsi="仿宋" w:eastAsia="仿宋" w:cs="Times New Roman"/>
                <w:b/>
                <w:color w:val="000000"/>
                <w:kern w:val="0"/>
                <w:sz w:val="28"/>
                <w:szCs w:val="28"/>
              </w:rPr>
              <w:t>序号</w:t>
            </w:r>
          </w:p>
        </w:tc>
        <w:tc>
          <w:tcPr>
            <w:tcW w:w="7036" w:type="dxa"/>
            <w:shd w:val="clear" w:color="auto" w:fill="auto"/>
            <w:vAlign w:val="center"/>
          </w:tcPr>
          <w:p>
            <w:pPr>
              <w:widowControl/>
              <w:spacing w:line="360" w:lineRule="auto"/>
              <w:jc w:val="center"/>
              <w:rPr>
                <w:rFonts w:ascii="仿宋" w:hAnsi="仿宋" w:eastAsia="仿宋" w:cs="宋体"/>
                <w:b/>
                <w:color w:val="000000"/>
                <w:kern w:val="0"/>
                <w:sz w:val="28"/>
                <w:szCs w:val="28"/>
              </w:rPr>
            </w:pPr>
            <w:r>
              <w:rPr>
                <w:rFonts w:hint="eastAsia" w:ascii="仿宋" w:hAnsi="仿宋" w:eastAsia="仿宋" w:cs="宋体"/>
                <w:b/>
                <w:color w:val="000000"/>
                <w:kern w:val="0"/>
                <w:sz w:val="28"/>
                <w:szCs w:val="28"/>
              </w:rPr>
              <w:t>分类标识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1</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致病微生物（人、动植物）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2</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食品毒理学（毒素）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3</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农（兽）药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4</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食品生物化学与功能食品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5</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食品加工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6</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食品包装与贮藏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7</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食品检验检疫</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8</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食品生产标准与安全管理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9</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大数据（数据库）与组学技术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1134" w:type="dxa"/>
            <w:shd w:val="clear" w:color="auto" w:fill="auto"/>
            <w:vAlign w:val="center"/>
          </w:tcPr>
          <w:p>
            <w:pPr>
              <w:widowControl/>
              <w:spacing w:line="360" w:lineRule="auto"/>
              <w:jc w:val="center"/>
              <w:rPr>
                <w:rFonts w:ascii="Times New Roman" w:hAnsi="Times New Roman" w:eastAsia="仿宋" w:cs="Times New Roman"/>
                <w:color w:val="000000"/>
                <w:kern w:val="0"/>
                <w:sz w:val="28"/>
                <w:szCs w:val="28"/>
              </w:rPr>
            </w:pPr>
            <w:r>
              <w:rPr>
                <w:rFonts w:ascii="Times New Roman" w:hAnsi="Times New Roman" w:eastAsia="仿宋" w:cs="Times New Roman"/>
                <w:color w:val="000000"/>
                <w:kern w:val="0"/>
                <w:sz w:val="28"/>
                <w:szCs w:val="28"/>
              </w:rPr>
              <w:t>10</w:t>
            </w:r>
          </w:p>
        </w:tc>
        <w:tc>
          <w:tcPr>
            <w:tcW w:w="7036" w:type="dxa"/>
            <w:shd w:val="clear" w:color="auto" w:fill="auto"/>
            <w:vAlign w:val="center"/>
          </w:tcPr>
          <w:p>
            <w:pPr>
              <w:widowControl/>
              <w:spacing w:line="360" w:lineRule="auto"/>
              <w:jc w:val="left"/>
              <w:rPr>
                <w:rFonts w:ascii="仿宋" w:hAnsi="仿宋" w:eastAsia="仿宋" w:cs="宋体"/>
                <w:color w:val="000000"/>
                <w:kern w:val="0"/>
                <w:sz w:val="28"/>
                <w:szCs w:val="28"/>
              </w:rPr>
            </w:pPr>
            <w:r>
              <w:rPr>
                <w:rFonts w:hint="eastAsia" w:ascii="仿宋" w:hAnsi="仿宋" w:eastAsia="仿宋" w:cs="宋体"/>
                <w:color w:val="000000"/>
                <w:kern w:val="0"/>
                <w:sz w:val="28"/>
                <w:szCs w:val="28"/>
              </w:rPr>
              <w:t>风险评估与应急保障</w:t>
            </w:r>
          </w:p>
        </w:tc>
      </w:tr>
    </w:tbl>
    <w:p>
      <w:pPr>
        <w:rPr>
          <w:rFonts w:ascii="仿宋" w:hAnsi="仿宋" w:eastAsia="仿宋"/>
          <w:b/>
          <w:sz w:val="32"/>
          <w:szCs w:val="32"/>
        </w:rPr>
      </w:pP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967"/>
    <w:rsid w:val="00017CE9"/>
    <w:rsid w:val="0006022D"/>
    <w:rsid w:val="00065E68"/>
    <w:rsid w:val="000A635B"/>
    <w:rsid w:val="000B5E55"/>
    <w:rsid w:val="000B71A1"/>
    <w:rsid w:val="000D4E93"/>
    <w:rsid w:val="000E6598"/>
    <w:rsid w:val="000F0744"/>
    <w:rsid w:val="000F3D41"/>
    <w:rsid w:val="000F6187"/>
    <w:rsid w:val="00115A47"/>
    <w:rsid w:val="001224B8"/>
    <w:rsid w:val="00124F9D"/>
    <w:rsid w:val="00173191"/>
    <w:rsid w:val="001765C0"/>
    <w:rsid w:val="001853CF"/>
    <w:rsid w:val="001A1971"/>
    <w:rsid w:val="001C6A9C"/>
    <w:rsid w:val="001F5D92"/>
    <w:rsid w:val="00207E8E"/>
    <w:rsid w:val="00212E7D"/>
    <w:rsid w:val="00224243"/>
    <w:rsid w:val="00227590"/>
    <w:rsid w:val="00230809"/>
    <w:rsid w:val="0023630D"/>
    <w:rsid w:val="00245296"/>
    <w:rsid w:val="00277D8B"/>
    <w:rsid w:val="00296C27"/>
    <w:rsid w:val="002A0E46"/>
    <w:rsid w:val="002B266A"/>
    <w:rsid w:val="002C761B"/>
    <w:rsid w:val="002F355E"/>
    <w:rsid w:val="002F5C85"/>
    <w:rsid w:val="003046A2"/>
    <w:rsid w:val="0033419B"/>
    <w:rsid w:val="0034565B"/>
    <w:rsid w:val="003E44B9"/>
    <w:rsid w:val="00434188"/>
    <w:rsid w:val="00434DFD"/>
    <w:rsid w:val="00463991"/>
    <w:rsid w:val="00485B9D"/>
    <w:rsid w:val="00497440"/>
    <w:rsid w:val="004A4C9C"/>
    <w:rsid w:val="004B08EC"/>
    <w:rsid w:val="004D5FFF"/>
    <w:rsid w:val="004E3CE7"/>
    <w:rsid w:val="00512E13"/>
    <w:rsid w:val="00514E1E"/>
    <w:rsid w:val="005173D7"/>
    <w:rsid w:val="005253CE"/>
    <w:rsid w:val="005302D3"/>
    <w:rsid w:val="0055592D"/>
    <w:rsid w:val="00591E49"/>
    <w:rsid w:val="00597967"/>
    <w:rsid w:val="005A3B65"/>
    <w:rsid w:val="005E3690"/>
    <w:rsid w:val="005F7F9E"/>
    <w:rsid w:val="006029D5"/>
    <w:rsid w:val="006063E4"/>
    <w:rsid w:val="00642B47"/>
    <w:rsid w:val="00644600"/>
    <w:rsid w:val="0067236C"/>
    <w:rsid w:val="00696E15"/>
    <w:rsid w:val="006A1E43"/>
    <w:rsid w:val="006A3992"/>
    <w:rsid w:val="006D5C10"/>
    <w:rsid w:val="006E1F75"/>
    <w:rsid w:val="006E3B6E"/>
    <w:rsid w:val="006F0AEF"/>
    <w:rsid w:val="00731DE2"/>
    <w:rsid w:val="00770A2F"/>
    <w:rsid w:val="007B28EC"/>
    <w:rsid w:val="007D685C"/>
    <w:rsid w:val="007D6EF3"/>
    <w:rsid w:val="0080013D"/>
    <w:rsid w:val="00820890"/>
    <w:rsid w:val="00901206"/>
    <w:rsid w:val="009179B2"/>
    <w:rsid w:val="009644C8"/>
    <w:rsid w:val="00966353"/>
    <w:rsid w:val="00982CF9"/>
    <w:rsid w:val="009870F9"/>
    <w:rsid w:val="009C5011"/>
    <w:rsid w:val="009E3A68"/>
    <w:rsid w:val="009E566E"/>
    <w:rsid w:val="009F792B"/>
    <w:rsid w:val="00A31A69"/>
    <w:rsid w:val="00A31E19"/>
    <w:rsid w:val="00A32EE5"/>
    <w:rsid w:val="00A70C00"/>
    <w:rsid w:val="00A7257F"/>
    <w:rsid w:val="00A772F1"/>
    <w:rsid w:val="00AF5D42"/>
    <w:rsid w:val="00B55CB9"/>
    <w:rsid w:val="00B56E84"/>
    <w:rsid w:val="00B819B8"/>
    <w:rsid w:val="00BD6A23"/>
    <w:rsid w:val="00BE337F"/>
    <w:rsid w:val="00BF0845"/>
    <w:rsid w:val="00BF4B83"/>
    <w:rsid w:val="00C04C6C"/>
    <w:rsid w:val="00C109C6"/>
    <w:rsid w:val="00C11FAA"/>
    <w:rsid w:val="00C149F3"/>
    <w:rsid w:val="00CB44FC"/>
    <w:rsid w:val="00CD3728"/>
    <w:rsid w:val="00CF3907"/>
    <w:rsid w:val="00CF5082"/>
    <w:rsid w:val="00CF740B"/>
    <w:rsid w:val="00D03E6A"/>
    <w:rsid w:val="00D10BAA"/>
    <w:rsid w:val="00D54D35"/>
    <w:rsid w:val="00D726AA"/>
    <w:rsid w:val="00DD3702"/>
    <w:rsid w:val="00DD6BD3"/>
    <w:rsid w:val="00E1085C"/>
    <w:rsid w:val="00E4670D"/>
    <w:rsid w:val="00E50D9F"/>
    <w:rsid w:val="00EC1993"/>
    <w:rsid w:val="00EC2BC9"/>
    <w:rsid w:val="00F01510"/>
    <w:rsid w:val="00F24160"/>
    <w:rsid w:val="00F4549C"/>
    <w:rsid w:val="00F531C4"/>
    <w:rsid w:val="00F67519"/>
    <w:rsid w:val="00F8759C"/>
    <w:rsid w:val="00F9771C"/>
    <w:rsid w:val="00FB51C7"/>
    <w:rsid w:val="00FC7D43"/>
    <w:rsid w:val="00FE5A2E"/>
    <w:rsid w:val="00FF629F"/>
    <w:rsid w:val="62413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2"/>
    <w:unhideWhenUsed/>
    <w:uiPriority w:val="99"/>
    <w:rPr>
      <w:b/>
      <w:bCs/>
    </w:rPr>
  </w:style>
  <w:style w:type="paragraph" w:styleId="3">
    <w:name w:val="annotation text"/>
    <w:basedOn w:val="1"/>
    <w:link w:val="11"/>
    <w:unhideWhenUsed/>
    <w:uiPriority w:val="99"/>
    <w:pPr>
      <w:jc w:val="left"/>
    </w:pPr>
  </w:style>
  <w:style w:type="paragraph" w:styleId="4">
    <w:name w:val="Balloon Text"/>
    <w:basedOn w:val="1"/>
    <w:link w:val="13"/>
    <w:unhideWhenUsed/>
    <w:uiPriority w:val="99"/>
    <w:rPr>
      <w:rFonts w:ascii="宋体" w:eastAsia="宋体"/>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unhideWhenUsed/>
    <w:qFormat/>
    <w:uiPriority w:val="99"/>
  </w:style>
  <w:style w:type="character" w:styleId="9">
    <w:name w:val="annotation reference"/>
    <w:basedOn w:val="7"/>
    <w:unhideWhenUsed/>
    <w:uiPriority w:val="99"/>
    <w:rPr>
      <w:sz w:val="21"/>
      <w:szCs w:val="21"/>
    </w:rPr>
  </w:style>
  <w:style w:type="character" w:customStyle="1" w:styleId="11">
    <w:name w:val="批注文字 Char"/>
    <w:basedOn w:val="7"/>
    <w:link w:val="3"/>
    <w:semiHidden/>
    <w:uiPriority w:val="99"/>
  </w:style>
  <w:style w:type="character" w:customStyle="1" w:styleId="12">
    <w:name w:val="批注主题 Char"/>
    <w:basedOn w:val="11"/>
    <w:link w:val="2"/>
    <w:semiHidden/>
    <w:uiPriority w:val="99"/>
    <w:rPr>
      <w:b/>
      <w:bCs/>
    </w:rPr>
  </w:style>
  <w:style w:type="character" w:customStyle="1" w:styleId="13">
    <w:name w:val="批注框文本 Char"/>
    <w:basedOn w:val="7"/>
    <w:link w:val="4"/>
    <w:semiHidden/>
    <w:qFormat/>
    <w:uiPriority w:val="99"/>
    <w:rPr>
      <w:rFonts w:ascii="宋体" w:eastAsia="宋体"/>
      <w:sz w:val="18"/>
      <w:szCs w:val="18"/>
    </w:rPr>
  </w:style>
  <w:style w:type="character" w:customStyle="1" w:styleId="14">
    <w:name w:val="页脚 Char"/>
    <w:basedOn w:val="7"/>
    <w:link w:val="5"/>
    <w:qFormat/>
    <w:uiPriority w:val="99"/>
    <w:rPr>
      <w:sz w:val="18"/>
      <w:szCs w:val="18"/>
    </w:rPr>
  </w:style>
  <w:style w:type="character" w:customStyle="1" w:styleId="15">
    <w:name w:val="页眉 Char"/>
    <w:basedOn w:val="7"/>
    <w:link w:val="6"/>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F8FB6B-D007-403D-8A0D-2CBADC87767A}">
  <ds:schemaRefs/>
</ds:datastoreItem>
</file>

<file path=docProps/app.xml><?xml version="1.0" encoding="utf-8"?>
<Properties xmlns="http://schemas.openxmlformats.org/officeDocument/2006/extended-properties" xmlns:vt="http://schemas.openxmlformats.org/officeDocument/2006/docPropsVTypes">
  <Template>Normal</Template>
  <Pages>5</Pages>
  <Words>291</Words>
  <Characters>1661</Characters>
  <Lines>13</Lines>
  <Paragraphs>3</Paragraphs>
  <TotalTime>0</TotalTime>
  <ScaleCrop>false</ScaleCrop>
  <LinksUpToDate>false</LinksUpToDate>
  <CharactersWithSpaces>1949</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2017-07-27T15:28:00Z</dcterms:created>
  <dc:creator>gongyechu</dc:creator>
  <cp:lastModifiedBy>lenovo</cp:lastModifiedBy>
  <cp:lastPrinted>2017-08-02T08:05:00Z</cp:lastPrinted>
  <dcterms:modified xsi:type="dcterms:W3CDTF">2017-08-03T08:59:03Z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