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06" w:rsidRDefault="00CA4AE2">
      <w:pPr>
        <w:snapToGrid w:val="0"/>
        <w:spacing w:line="560" w:lineRule="exact"/>
        <w:ind w:firstLineChars="200" w:firstLine="602"/>
        <w:rPr>
          <w:rFonts w:ascii="楷体" w:eastAsia="楷体" w:hAnsi="楷体"/>
          <w:b/>
          <w:sz w:val="30"/>
          <w:szCs w:val="30"/>
        </w:rPr>
      </w:pPr>
      <w:r>
        <w:rPr>
          <w:rFonts w:ascii="楷体" w:eastAsia="楷体" w:hAnsi="楷体" w:hint="eastAsia"/>
          <w:b/>
          <w:sz w:val="30"/>
          <w:szCs w:val="30"/>
        </w:rPr>
        <w:t>（一）单位类型、隶属关系、职能业务范围</w:t>
      </w:r>
    </w:p>
    <w:p w:rsidR="00B473A7" w:rsidRPr="00B473A7" w:rsidRDefault="00B473A7" w:rsidP="00B473A7">
      <w:pPr>
        <w:snapToGrid w:val="0"/>
        <w:spacing w:line="560" w:lineRule="exact"/>
        <w:ind w:firstLineChars="200" w:firstLine="600"/>
        <w:rPr>
          <w:rFonts w:ascii="仿宋_GB2312" w:eastAsia="仿宋_GB2312" w:hAnsi="宋体" w:hint="eastAsia"/>
          <w:sz w:val="30"/>
          <w:szCs w:val="30"/>
        </w:rPr>
      </w:pPr>
      <w:r w:rsidRPr="00B473A7">
        <w:rPr>
          <w:rFonts w:ascii="仿宋_GB2312" w:eastAsia="仿宋_GB2312" w:hAnsi="宋体"/>
          <w:sz w:val="30"/>
          <w:szCs w:val="30"/>
        </w:rPr>
        <w:t>华南农业大学是全国重点大学,广东省和农业部共建的</w:t>
      </w:r>
      <w:r w:rsidRPr="00B473A7">
        <w:rPr>
          <w:rFonts w:ascii="仿宋_GB2312" w:eastAsia="仿宋_GB2312" w:hAnsi="宋体"/>
          <w:sz w:val="30"/>
          <w:szCs w:val="30"/>
        </w:rPr>
        <w:t>“</w:t>
      </w:r>
      <w:r w:rsidRPr="00B473A7">
        <w:rPr>
          <w:rFonts w:ascii="仿宋_GB2312" w:eastAsia="仿宋_GB2312" w:hAnsi="宋体"/>
          <w:sz w:val="30"/>
          <w:szCs w:val="30"/>
        </w:rPr>
        <w:t>211工程</w:t>
      </w:r>
      <w:r w:rsidRPr="00B473A7">
        <w:rPr>
          <w:rFonts w:ascii="仿宋_GB2312" w:eastAsia="仿宋_GB2312" w:hAnsi="宋体"/>
          <w:sz w:val="30"/>
          <w:szCs w:val="30"/>
        </w:rPr>
        <w:t>”</w:t>
      </w:r>
      <w:r w:rsidRPr="00B473A7">
        <w:rPr>
          <w:rFonts w:ascii="仿宋_GB2312" w:eastAsia="仿宋_GB2312" w:hAnsi="宋体"/>
          <w:sz w:val="30"/>
          <w:szCs w:val="30"/>
        </w:rPr>
        <w:t>大学,广东省高水平大学重点建设高校。学校学科门类齐全，有95个本科专业，12个博士学位授权一级学科，23个硕士学位授权一级学科，59个博士学位授权点，107个硕士学位授权点；有农业昆虫与害虫防治、作物遗传育种、农业经济管理、果树学和预防兽医学5个国家重点学科，农业机械化工程1个国家重点（培育）学科，5个农业部重点学科，12个广东省一级重点学科，4个广东省二级重点学科和1个国家林业局重点学科。农业科学、植物学与动物学两个学科进入ESI（基本科学指标）世界排名前1%。</w:t>
      </w:r>
      <w:r w:rsidRPr="00B473A7">
        <w:rPr>
          <w:rFonts w:ascii="仿宋_GB2312" w:eastAsia="仿宋_GB2312" w:hAnsi="宋体"/>
          <w:sz w:val="30"/>
          <w:szCs w:val="30"/>
        </w:rPr>
        <w:br/>
        <w:t xml:space="preserve">　　学校师资力量雄厚。现有教职工3300余人，教授、副教授1500余人，其中，中国科学院院士1人，中国工程院院士1人，国务院学位委员会学科评议组成员5人，国家</w:t>
      </w:r>
      <w:r w:rsidRPr="00B473A7">
        <w:rPr>
          <w:rFonts w:ascii="仿宋_GB2312" w:eastAsia="仿宋_GB2312" w:hAnsi="宋体"/>
          <w:sz w:val="30"/>
          <w:szCs w:val="30"/>
        </w:rPr>
        <w:t>“</w:t>
      </w:r>
      <w:r w:rsidRPr="00B473A7">
        <w:rPr>
          <w:rFonts w:ascii="仿宋_GB2312" w:eastAsia="仿宋_GB2312" w:hAnsi="宋体"/>
          <w:sz w:val="30"/>
          <w:szCs w:val="30"/>
        </w:rPr>
        <w:t>千人计划</w:t>
      </w:r>
      <w:r w:rsidRPr="00B473A7">
        <w:rPr>
          <w:rFonts w:ascii="仿宋_GB2312" w:eastAsia="仿宋_GB2312" w:hAnsi="宋体"/>
          <w:sz w:val="30"/>
          <w:szCs w:val="30"/>
        </w:rPr>
        <w:t>”</w:t>
      </w:r>
      <w:r w:rsidRPr="00B473A7">
        <w:rPr>
          <w:rFonts w:ascii="仿宋_GB2312" w:eastAsia="仿宋_GB2312" w:hAnsi="宋体"/>
          <w:sz w:val="30"/>
          <w:szCs w:val="30"/>
        </w:rPr>
        <w:t>9人，</w:t>
      </w:r>
      <w:r w:rsidRPr="00B473A7">
        <w:rPr>
          <w:rFonts w:ascii="仿宋_GB2312" w:eastAsia="仿宋_GB2312" w:hAnsi="宋体"/>
          <w:sz w:val="30"/>
          <w:szCs w:val="30"/>
        </w:rPr>
        <w:t>“</w:t>
      </w:r>
      <w:r w:rsidRPr="00B473A7">
        <w:rPr>
          <w:rFonts w:ascii="仿宋_GB2312" w:eastAsia="仿宋_GB2312" w:hAnsi="宋体"/>
          <w:sz w:val="30"/>
          <w:szCs w:val="30"/>
        </w:rPr>
        <w:t>长江学者奖励计划</w:t>
      </w:r>
      <w:r w:rsidRPr="00B473A7">
        <w:rPr>
          <w:rFonts w:ascii="仿宋_GB2312" w:eastAsia="仿宋_GB2312" w:hAnsi="宋体"/>
          <w:sz w:val="30"/>
          <w:szCs w:val="30"/>
        </w:rPr>
        <w:t>”</w:t>
      </w:r>
      <w:r w:rsidRPr="00B473A7">
        <w:rPr>
          <w:rFonts w:ascii="仿宋_GB2312" w:eastAsia="仿宋_GB2312" w:hAnsi="宋体"/>
          <w:sz w:val="30"/>
          <w:szCs w:val="30"/>
        </w:rPr>
        <w:t>教授9人，国家杰出青年基金获得者7人，国家优秀青年基金获得者3人，国家特支计划（万人计划）9人，广东省领军人才2人，广东省特支计划28人，广东省高等学校珠江学者岗位计划25人，人（事）社部</w:t>
      </w:r>
      <w:r w:rsidRPr="00B473A7">
        <w:rPr>
          <w:rFonts w:ascii="仿宋_GB2312" w:eastAsia="仿宋_GB2312" w:hAnsi="宋体"/>
          <w:sz w:val="30"/>
          <w:szCs w:val="30"/>
        </w:rPr>
        <w:t>“</w:t>
      </w:r>
      <w:r w:rsidRPr="00B473A7">
        <w:rPr>
          <w:rFonts w:ascii="仿宋_GB2312" w:eastAsia="仿宋_GB2312" w:hAnsi="宋体"/>
          <w:sz w:val="30"/>
          <w:szCs w:val="30"/>
        </w:rPr>
        <w:t>百千万人才工程</w:t>
      </w:r>
      <w:r w:rsidRPr="00B473A7">
        <w:rPr>
          <w:rFonts w:ascii="仿宋_GB2312" w:eastAsia="仿宋_GB2312" w:hAnsi="宋体"/>
          <w:sz w:val="30"/>
          <w:szCs w:val="30"/>
        </w:rPr>
        <w:t>”</w:t>
      </w:r>
      <w:r w:rsidRPr="00B473A7">
        <w:rPr>
          <w:rFonts w:ascii="仿宋_GB2312" w:eastAsia="仿宋_GB2312" w:hAnsi="宋体"/>
          <w:sz w:val="30"/>
          <w:szCs w:val="30"/>
        </w:rPr>
        <w:t>人选9人，教育部跨/新世纪优秀人才培养计划12人，广东省</w:t>
      </w:r>
      <w:r w:rsidRPr="00B473A7">
        <w:rPr>
          <w:rFonts w:ascii="仿宋_GB2312" w:eastAsia="仿宋_GB2312" w:hAnsi="宋体"/>
          <w:sz w:val="30"/>
          <w:szCs w:val="30"/>
        </w:rPr>
        <w:t>“</w:t>
      </w:r>
      <w:r w:rsidRPr="00B473A7">
        <w:rPr>
          <w:rFonts w:ascii="仿宋_GB2312" w:eastAsia="仿宋_GB2312" w:hAnsi="宋体"/>
          <w:sz w:val="30"/>
          <w:szCs w:val="30"/>
        </w:rPr>
        <w:t>千百十工程</w:t>
      </w:r>
      <w:r w:rsidRPr="00B473A7">
        <w:rPr>
          <w:rFonts w:ascii="仿宋_GB2312" w:eastAsia="仿宋_GB2312" w:hAnsi="宋体"/>
          <w:sz w:val="30"/>
          <w:szCs w:val="30"/>
        </w:rPr>
        <w:t>”</w:t>
      </w:r>
      <w:r w:rsidRPr="00B473A7">
        <w:rPr>
          <w:rFonts w:ascii="仿宋_GB2312" w:eastAsia="仿宋_GB2312" w:hAnsi="宋体"/>
          <w:sz w:val="30"/>
          <w:szCs w:val="30"/>
        </w:rPr>
        <w:t>国家级培养对象5人，科技部中青年科技创新领军人才6人，农业部农业科研杰出人才4人，国家级教学名师4人，国家级教学团队3个，博士生导师242人，硕士生导师998人。学校设有26个学院（部），现有全日制在校生4.1万余人，其中本科生3.7万余人，研究生4000余人，来自27个国家和地区</w:t>
      </w:r>
      <w:r w:rsidRPr="00B473A7">
        <w:rPr>
          <w:rFonts w:ascii="仿宋_GB2312" w:eastAsia="仿宋_GB2312" w:hAnsi="宋体"/>
          <w:sz w:val="30"/>
          <w:szCs w:val="30"/>
        </w:rPr>
        <w:lastRenderedPageBreak/>
        <w:t>的留学生70人。有国家级精品（双语）课程13门、省级精品课程26门、国家精品视频公开课2门、省级精品视频公开课程4门。国家级精品资源共享课6门、省级精品资源共享课41门。国家级实验教学示范中心4个、广东省高校实验教学示范中心21个，国家级特色专业12个、广东省特色专业24个，国家专业综合改革试点2个，国家卓越人才培养计划专业8个。国家理科基础科学研究和教学人才培养基地（生物学）1个，国家人才培养模式创新实验区1个，国家大学生校外实践教育基地6个。</w:t>
      </w:r>
    </w:p>
    <w:p w:rsidR="00B473A7" w:rsidRDefault="002B3220" w:rsidP="008501B4">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学校</w:t>
      </w:r>
      <w:r w:rsidR="00B473A7" w:rsidRPr="00B473A7">
        <w:rPr>
          <w:rFonts w:ascii="仿宋_GB2312" w:eastAsia="仿宋_GB2312" w:hAnsi="宋体"/>
          <w:sz w:val="30"/>
          <w:szCs w:val="30"/>
        </w:rPr>
        <w:t>现有亚热带农业生物资源保护与利用国家重点实验室、国家植物航天育种工程技术研究中心、国家生猪种业工程技术研究中心、人兽共患病防控制剂国家地方联合工程实验室、畜禽育种国家地方联合工程研究中心（广东）、国家兽医微生物耐药性风险评估实验室、畜禽产品精准加工与安全控制技术国家地方联合工程研究中心（广东）、国家精准农业航空施药技术国际联合研究中心等8个国家级科研平台，博士后科研流动站11个，教育部重点实验室2个，农业部重点实验室9个，农业部科学观测实验站3个，国土资源部重点实验室1个，广东省重点（工程）实验室13个，教育部工程研究中心3个，广东省工程技术研究中心25个，广东省普通高校产学研结合示范基地8个，广东省人文社科重点研究基地2个。农业部植物新品种测试分中心（广州）、农业部畜禽产品质量监督检验测试中心（广州）、农业部转基因植物及植物用微生物环境安全监督检验测试中心（广州）、广东农村政策研究中心、广东省低碳经济和应对气候变化研究中心和广东省质量监督木材及木制品检验站均设在学校。</w:t>
      </w:r>
    </w:p>
    <w:p w:rsidR="00C72C06" w:rsidRDefault="00CA4AE2" w:rsidP="00B473A7">
      <w:pPr>
        <w:snapToGrid w:val="0"/>
        <w:spacing w:line="560" w:lineRule="exact"/>
        <w:ind w:firstLineChars="200" w:firstLine="602"/>
        <w:rPr>
          <w:rFonts w:ascii="楷体" w:eastAsia="楷体" w:hAnsi="楷体"/>
          <w:b/>
          <w:sz w:val="30"/>
          <w:szCs w:val="30"/>
        </w:rPr>
      </w:pPr>
      <w:r>
        <w:rPr>
          <w:rFonts w:ascii="楷体" w:eastAsia="楷体" w:hAnsi="楷体" w:hint="eastAsia"/>
          <w:b/>
          <w:sz w:val="30"/>
          <w:szCs w:val="30"/>
        </w:rPr>
        <w:lastRenderedPageBreak/>
        <w:t>（二）技术设备条件、财务收支资产状况、内部管理制度建设情况</w:t>
      </w:r>
    </w:p>
    <w:p w:rsidR="00C72C06" w:rsidRDefault="00CA4AE2">
      <w:pPr>
        <w:snapToGrid w:val="0"/>
        <w:spacing w:line="560" w:lineRule="exact"/>
        <w:rPr>
          <w:rFonts w:ascii="楷体" w:eastAsia="楷体" w:hAnsi="楷体"/>
          <w:b/>
          <w:sz w:val="30"/>
          <w:szCs w:val="30"/>
        </w:rPr>
      </w:pPr>
      <w:r>
        <w:rPr>
          <w:rFonts w:ascii="楷体" w:eastAsia="楷体" w:hAnsi="楷体" w:hint="eastAsia"/>
          <w:b/>
          <w:sz w:val="30"/>
          <w:szCs w:val="30"/>
        </w:rPr>
        <w:t>1</w:t>
      </w:r>
      <w:r>
        <w:rPr>
          <w:rFonts w:ascii="楷体" w:eastAsia="楷体" w:hAnsi="楷体" w:hint="eastAsia"/>
          <w:b/>
          <w:sz w:val="30"/>
          <w:szCs w:val="30"/>
        </w:rPr>
        <w:t>、技术设备条件</w:t>
      </w:r>
    </w:p>
    <w:p w:rsidR="00C72C06" w:rsidRDefault="00CA4AE2">
      <w:pPr>
        <w:ind w:firstLineChars="200" w:firstLine="600"/>
        <w:rPr>
          <w:rFonts w:ascii="仿宋_GB2312" w:eastAsia="仿宋_GB2312" w:hAnsi="宋体"/>
          <w:sz w:val="30"/>
          <w:szCs w:val="30"/>
        </w:rPr>
      </w:pPr>
      <w:r>
        <w:rPr>
          <w:rFonts w:ascii="仿宋_GB2312" w:eastAsia="仿宋_GB2312" w:hAnsi="宋体" w:hint="eastAsia"/>
          <w:sz w:val="30"/>
          <w:szCs w:val="30"/>
        </w:rPr>
        <w:t>目前，我校科研</w:t>
      </w:r>
      <w:r>
        <w:rPr>
          <w:rFonts w:ascii="仿宋_GB2312" w:eastAsia="仿宋_GB2312" w:hAnsi="宋体" w:hint="eastAsia"/>
          <w:sz w:val="30"/>
          <w:szCs w:val="30"/>
        </w:rPr>
        <w:t>经费购置的仪器设备约占全校仪器设备总值的</w:t>
      </w:r>
      <w:r>
        <w:rPr>
          <w:rFonts w:ascii="仿宋_GB2312" w:eastAsia="仿宋_GB2312" w:hAnsi="宋体" w:hint="eastAsia"/>
          <w:sz w:val="30"/>
          <w:szCs w:val="30"/>
        </w:rPr>
        <w:t>1/3</w:t>
      </w:r>
      <w:r>
        <w:rPr>
          <w:rFonts w:ascii="仿宋_GB2312" w:eastAsia="仿宋_GB2312" w:hAnsi="宋体" w:hint="eastAsia"/>
          <w:sz w:val="30"/>
          <w:szCs w:val="30"/>
        </w:rPr>
        <w:t>，是科研项目得以顺利进行的物质保障，也是我校仪器设备的重要组成部分，使用科研经费购置的仪器设备纳入学校的仪器设备管理。我校先后修订并颁布了《华南农业大学国有资产管理办法》、《华南农业大学仪器设备管理实施细则》，并及时在全校范围内解读相关文件，指导设备管理工作的规范开展，进一步规范了我校的设备管理。</w:t>
      </w:r>
    </w:p>
    <w:p w:rsidR="00C72C06" w:rsidRDefault="00CA4AE2">
      <w:pPr>
        <w:snapToGrid w:val="0"/>
        <w:spacing w:line="560" w:lineRule="exact"/>
        <w:rPr>
          <w:rFonts w:ascii="楷体" w:eastAsia="楷体" w:hAnsi="楷体"/>
          <w:b/>
          <w:sz w:val="30"/>
          <w:szCs w:val="30"/>
        </w:rPr>
      </w:pPr>
      <w:r>
        <w:rPr>
          <w:rFonts w:ascii="楷体" w:eastAsia="楷体" w:hAnsi="楷体" w:hint="eastAsia"/>
          <w:b/>
          <w:sz w:val="30"/>
          <w:szCs w:val="30"/>
        </w:rPr>
        <w:t xml:space="preserve">    </w:t>
      </w:r>
      <w:r>
        <w:rPr>
          <w:rFonts w:ascii="楷体" w:eastAsia="楷体" w:hAnsi="楷体" w:hint="eastAsia"/>
          <w:b/>
          <w:sz w:val="30"/>
          <w:szCs w:val="30"/>
        </w:rPr>
        <w:t>请主要介绍各单位或课题组的技术设备情况。</w:t>
      </w:r>
    </w:p>
    <w:p w:rsidR="00C72C06" w:rsidRDefault="00CA4AE2">
      <w:pPr>
        <w:snapToGrid w:val="0"/>
        <w:spacing w:line="560" w:lineRule="exact"/>
        <w:rPr>
          <w:rFonts w:ascii="楷体" w:eastAsia="楷体" w:hAnsi="楷体"/>
          <w:b/>
          <w:sz w:val="30"/>
          <w:szCs w:val="30"/>
        </w:rPr>
      </w:pPr>
      <w:r>
        <w:rPr>
          <w:rFonts w:ascii="楷体" w:eastAsia="楷体" w:hAnsi="楷体" w:hint="eastAsia"/>
          <w:b/>
          <w:sz w:val="30"/>
          <w:szCs w:val="30"/>
        </w:rPr>
        <w:t>2</w:t>
      </w:r>
      <w:r>
        <w:rPr>
          <w:rFonts w:ascii="楷体" w:eastAsia="楷体" w:hAnsi="楷体" w:hint="eastAsia"/>
          <w:b/>
          <w:sz w:val="30"/>
          <w:szCs w:val="30"/>
        </w:rPr>
        <w:t>、</w:t>
      </w:r>
      <w:r>
        <w:rPr>
          <w:rFonts w:ascii="楷体" w:eastAsia="楷体" w:hAnsi="楷体" w:hint="eastAsia"/>
          <w:b/>
          <w:sz w:val="30"/>
          <w:szCs w:val="30"/>
        </w:rPr>
        <w:t>201</w:t>
      </w:r>
      <w:r>
        <w:rPr>
          <w:rFonts w:ascii="楷体" w:eastAsia="楷体" w:hAnsi="楷体" w:hint="eastAsia"/>
          <w:b/>
          <w:sz w:val="30"/>
          <w:szCs w:val="30"/>
        </w:rPr>
        <w:t>6</w:t>
      </w:r>
      <w:r>
        <w:rPr>
          <w:rFonts w:ascii="楷体" w:eastAsia="楷体" w:hAnsi="楷体" w:hint="eastAsia"/>
          <w:b/>
          <w:sz w:val="30"/>
          <w:szCs w:val="30"/>
        </w:rPr>
        <w:t>年</w:t>
      </w:r>
      <w:r>
        <w:rPr>
          <w:rFonts w:ascii="楷体" w:eastAsia="楷体" w:hAnsi="楷体"/>
          <w:b/>
          <w:sz w:val="30"/>
          <w:szCs w:val="30"/>
        </w:rPr>
        <w:t>财务收支情况</w:t>
      </w:r>
    </w:p>
    <w:p w:rsidR="00C72C06" w:rsidRDefault="00CA4AE2">
      <w:pPr>
        <w:numPr>
          <w:ilvl w:val="0"/>
          <w:numId w:val="1"/>
        </w:numPr>
        <w:spacing w:line="360" w:lineRule="auto"/>
        <w:rPr>
          <w:rFonts w:ascii="仿宋_GB2312" w:eastAsia="仿宋_GB2312" w:hAnsi="宋体"/>
          <w:sz w:val="30"/>
          <w:szCs w:val="30"/>
        </w:rPr>
      </w:pPr>
      <w:r>
        <w:rPr>
          <w:rFonts w:ascii="仿宋_GB2312" w:eastAsia="仿宋_GB2312" w:hAnsi="宋体"/>
          <w:sz w:val="30"/>
          <w:szCs w:val="30"/>
        </w:rPr>
        <w:t>资产负债状况</w:t>
      </w:r>
    </w:p>
    <w:p w:rsidR="00C72C06" w:rsidRDefault="00CA4AE2">
      <w:pPr>
        <w:spacing w:line="360" w:lineRule="auto"/>
        <w:ind w:firstLineChars="200" w:firstLine="600"/>
        <w:rPr>
          <w:rFonts w:ascii="仿宋_GB2312" w:eastAsia="仿宋_GB2312" w:hAnsi="宋体"/>
          <w:sz w:val="30"/>
          <w:szCs w:val="30"/>
        </w:rPr>
      </w:pPr>
      <w:r>
        <w:rPr>
          <w:rFonts w:ascii="仿宋_GB2312" w:eastAsia="仿宋_GB2312" w:hAnsi="宋体"/>
          <w:sz w:val="30"/>
          <w:szCs w:val="30"/>
        </w:rPr>
        <w:t>201</w:t>
      </w:r>
      <w:r>
        <w:rPr>
          <w:rFonts w:ascii="仿宋_GB2312" w:eastAsia="仿宋_GB2312" w:hAnsi="宋体" w:hint="eastAsia"/>
          <w:sz w:val="30"/>
          <w:szCs w:val="30"/>
        </w:rPr>
        <w:t>6</w:t>
      </w:r>
      <w:r>
        <w:rPr>
          <w:rFonts w:ascii="仿宋_GB2312" w:eastAsia="仿宋_GB2312" w:hAnsi="宋体"/>
          <w:sz w:val="30"/>
          <w:szCs w:val="30"/>
        </w:rPr>
        <w:t>年末我校资产总额</w:t>
      </w:r>
      <w:r>
        <w:rPr>
          <w:rFonts w:ascii="仿宋_GB2312" w:eastAsia="仿宋_GB2312" w:hAnsi="宋体" w:hint="eastAsia"/>
          <w:sz w:val="30"/>
          <w:szCs w:val="30"/>
        </w:rPr>
        <w:t>627172</w:t>
      </w:r>
      <w:r>
        <w:rPr>
          <w:rFonts w:ascii="仿宋_GB2312" w:eastAsia="仿宋_GB2312" w:hAnsi="宋体"/>
          <w:sz w:val="30"/>
          <w:szCs w:val="30"/>
        </w:rPr>
        <w:t>万元（含后勤集团、附属小学等二级非独立</w:t>
      </w:r>
      <w:r>
        <w:rPr>
          <w:rFonts w:ascii="仿宋_GB2312" w:eastAsia="仿宋_GB2312" w:hAnsi="宋体"/>
          <w:sz w:val="30"/>
          <w:szCs w:val="30"/>
        </w:rPr>
        <w:t>核算单位，下同）</w:t>
      </w:r>
      <w:r>
        <w:rPr>
          <w:rFonts w:ascii="仿宋_GB2312" w:eastAsia="仿宋_GB2312" w:hAnsi="宋体" w:hint="eastAsia"/>
          <w:sz w:val="30"/>
          <w:szCs w:val="30"/>
        </w:rPr>
        <w:t>。</w:t>
      </w:r>
      <w:r>
        <w:rPr>
          <w:rFonts w:ascii="仿宋_GB2312" w:eastAsia="仿宋_GB2312" w:hAnsi="宋体"/>
          <w:sz w:val="30"/>
          <w:szCs w:val="30"/>
        </w:rPr>
        <w:t>资产的主要构成项目：</w:t>
      </w:r>
      <w:r>
        <w:rPr>
          <w:rFonts w:ascii="仿宋_GB2312" w:eastAsia="仿宋_GB2312" w:hAnsi="宋体" w:hint="eastAsia"/>
          <w:sz w:val="30"/>
          <w:szCs w:val="30"/>
        </w:rPr>
        <w:t>库存</w:t>
      </w:r>
      <w:r>
        <w:rPr>
          <w:rFonts w:ascii="仿宋_GB2312" w:eastAsia="仿宋_GB2312" w:hAnsi="宋体"/>
          <w:sz w:val="30"/>
          <w:szCs w:val="30"/>
        </w:rPr>
        <w:t>现金</w:t>
      </w:r>
      <w:r>
        <w:rPr>
          <w:rFonts w:ascii="仿宋_GB2312" w:eastAsia="仿宋_GB2312" w:hAnsi="宋体" w:hint="eastAsia"/>
          <w:sz w:val="30"/>
          <w:szCs w:val="30"/>
        </w:rPr>
        <w:t>8</w:t>
      </w:r>
      <w:r>
        <w:rPr>
          <w:rFonts w:ascii="仿宋_GB2312" w:eastAsia="仿宋_GB2312" w:hAnsi="宋体"/>
          <w:sz w:val="30"/>
          <w:szCs w:val="30"/>
        </w:rPr>
        <w:t>万元；银行存款</w:t>
      </w:r>
      <w:r>
        <w:rPr>
          <w:rFonts w:ascii="仿宋_GB2312" w:eastAsia="仿宋_GB2312" w:hAnsi="宋体" w:hint="eastAsia"/>
          <w:sz w:val="30"/>
          <w:szCs w:val="30"/>
        </w:rPr>
        <w:t>102745</w:t>
      </w:r>
      <w:r>
        <w:rPr>
          <w:rFonts w:ascii="仿宋_GB2312" w:eastAsia="仿宋_GB2312" w:hAnsi="宋体"/>
          <w:sz w:val="30"/>
          <w:szCs w:val="30"/>
        </w:rPr>
        <w:t>万元；固定资产</w:t>
      </w:r>
      <w:r>
        <w:rPr>
          <w:rFonts w:ascii="仿宋_GB2312" w:eastAsia="仿宋_GB2312" w:hAnsi="宋体" w:hint="eastAsia"/>
          <w:sz w:val="30"/>
          <w:szCs w:val="30"/>
        </w:rPr>
        <w:t>421310</w:t>
      </w:r>
      <w:r>
        <w:rPr>
          <w:rFonts w:ascii="仿宋_GB2312" w:eastAsia="仿宋_GB2312" w:hAnsi="宋体"/>
          <w:sz w:val="30"/>
          <w:szCs w:val="30"/>
        </w:rPr>
        <w:t>万元；其他</w:t>
      </w:r>
      <w:r>
        <w:rPr>
          <w:rFonts w:ascii="仿宋_GB2312" w:eastAsia="仿宋_GB2312" w:hAnsi="宋体" w:hint="eastAsia"/>
          <w:sz w:val="30"/>
          <w:szCs w:val="30"/>
        </w:rPr>
        <w:t>103109</w:t>
      </w:r>
      <w:r>
        <w:rPr>
          <w:rFonts w:ascii="仿宋_GB2312" w:eastAsia="仿宋_GB2312" w:hAnsi="宋体"/>
          <w:sz w:val="30"/>
          <w:szCs w:val="30"/>
        </w:rPr>
        <w:t>万元。</w:t>
      </w:r>
      <w:r>
        <w:rPr>
          <w:rFonts w:ascii="仿宋_GB2312" w:eastAsia="仿宋_GB2312" w:hAnsi="宋体" w:hint="eastAsia"/>
          <w:sz w:val="30"/>
          <w:szCs w:val="30"/>
        </w:rPr>
        <w:t>负债总额</w:t>
      </w:r>
      <w:r>
        <w:rPr>
          <w:rFonts w:ascii="仿宋_GB2312" w:eastAsia="仿宋_GB2312" w:hAnsi="宋体" w:hint="eastAsia"/>
          <w:sz w:val="30"/>
          <w:szCs w:val="30"/>
        </w:rPr>
        <w:t>30589</w:t>
      </w:r>
      <w:r>
        <w:rPr>
          <w:rFonts w:ascii="仿宋_GB2312" w:eastAsia="仿宋_GB2312" w:hAnsi="宋体"/>
          <w:sz w:val="30"/>
          <w:szCs w:val="30"/>
        </w:rPr>
        <w:t>万元，净资产总额</w:t>
      </w:r>
      <w:r>
        <w:rPr>
          <w:rFonts w:ascii="仿宋_GB2312" w:eastAsia="仿宋_GB2312" w:hAnsi="宋体" w:hint="eastAsia"/>
          <w:sz w:val="30"/>
          <w:szCs w:val="30"/>
        </w:rPr>
        <w:t>596583</w:t>
      </w:r>
      <w:r>
        <w:rPr>
          <w:rFonts w:ascii="仿宋_GB2312" w:eastAsia="仿宋_GB2312" w:hAnsi="宋体"/>
          <w:sz w:val="30"/>
          <w:szCs w:val="30"/>
        </w:rPr>
        <w:t>万元。</w:t>
      </w:r>
    </w:p>
    <w:p w:rsidR="00C72C06" w:rsidRDefault="00CA4AE2">
      <w:pPr>
        <w:numPr>
          <w:ilvl w:val="0"/>
          <w:numId w:val="1"/>
        </w:numPr>
        <w:spacing w:line="360" w:lineRule="auto"/>
        <w:rPr>
          <w:rFonts w:ascii="仿宋_GB2312" w:eastAsia="仿宋_GB2312" w:hAnsi="宋体"/>
          <w:sz w:val="30"/>
          <w:szCs w:val="30"/>
        </w:rPr>
      </w:pPr>
      <w:r>
        <w:rPr>
          <w:rFonts w:ascii="仿宋_GB2312" w:eastAsia="仿宋_GB2312" w:hAnsi="宋体"/>
          <w:sz w:val="30"/>
          <w:szCs w:val="30"/>
        </w:rPr>
        <w:t>经费收支</w:t>
      </w:r>
      <w:r>
        <w:rPr>
          <w:rFonts w:ascii="仿宋_GB2312" w:eastAsia="仿宋_GB2312" w:hAnsi="宋体" w:hint="eastAsia"/>
          <w:sz w:val="30"/>
          <w:szCs w:val="30"/>
        </w:rPr>
        <w:t>情</w:t>
      </w:r>
      <w:r>
        <w:rPr>
          <w:rFonts w:ascii="仿宋_GB2312" w:eastAsia="仿宋_GB2312" w:hAnsi="宋体"/>
          <w:sz w:val="30"/>
          <w:szCs w:val="30"/>
        </w:rPr>
        <w:t>况</w:t>
      </w:r>
    </w:p>
    <w:p w:rsidR="00C72C06" w:rsidRDefault="00CA4AE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总支出构成情况：</w:t>
      </w:r>
      <w:r>
        <w:rPr>
          <w:rFonts w:ascii="仿宋_GB2312" w:eastAsia="仿宋_GB2312" w:hAnsi="宋体"/>
          <w:sz w:val="30"/>
          <w:szCs w:val="30"/>
        </w:rPr>
        <w:t>201</w:t>
      </w:r>
      <w:r>
        <w:rPr>
          <w:rFonts w:ascii="仿宋_GB2312" w:eastAsia="仿宋_GB2312" w:hAnsi="宋体" w:hint="eastAsia"/>
          <w:sz w:val="30"/>
          <w:szCs w:val="30"/>
        </w:rPr>
        <w:t>5</w:t>
      </w:r>
      <w:r>
        <w:rPr>
          <w:rFonts w:ascii="仿宋_GB2312" w:eastAsia="仿宋_GB2312" w:hAnsi="宋体"/>
          <w:sz w:val="30"/>
          <w:szCs w:val="30"/>
        </w:rPr>
        <w:t>年我校总支出</w:t>
      </w:r>
      <w:r>
        <w:rPr>
          <w:rFonts w:ascii="仿宋_GB2312" w:eastAsia="仿宋_GB2312" w:hAnsi="宋体" w:hint="eastAsia"/>
          <w:sz w:val="30"/>
          <w:szCs w:val="30"/>
        </w:rPr>
        <w:t>190207</w:t>
      </w:r>
      <w:r>
        <w:rPr>
          <w:rFonts w:ascii="仿宋_GB2312" w:eastAsia="仿宋_GB2312" w:hAnsi="宋体"/>
          <w:sz w:val="30"/>
          <w:szCs w:val="30"/>
        </w:rPr>
        <w:t>万元。</w:t>
      </w:r>
      <w:r>
        <w:rPr>
          <w:rFonts w:ascii="仿宋_GB2312" w:eastAsia="仿宋_GB2312" w:hAnsi="宋体" w:hint="eastAsia"/>
          <w:sz w:val="30"/>
          <w:szCs w:val="30"/>
        </w:rPr>
        <w:t>其中，</w:t>
      </w:r>
      <w:r>
        <w:rPr>
          <w:rFonts w:ascii="仿宋_GB2312" w:eastAsia="仿宋_GB2312" w:hAnsi="宋体"/>
          <w:sz w:val="30"/>
          <w:szCs w:val="30"/>
        </w:rPr>
        <w:t>基本支出</w:t>
      </w:r>
      <w:r>
        <w:rPr>
          <w:rFonts w:ascii="仿宋_GB2312" w:eastAsia="仿宋_GB2312" w:hAnsi="宋体" w:hint="eastAsia"/>
          <w:sz w:val="30"/>
          <w:szCs w:val="30"/>
        </w:rPr>
        <w:t>98161</w:t>
      </w:r>
      <w:r>
        <w:rPr>
          <w:rFonts w:ascii="仿宋_GB2312" w:eastAsia="仿宋_GB2312" w:hAnsi="宋体"/>
          <w:sz w:val="30"/>
          <w:szCs w:val="30"/>
        </w:rPr>
        <w:t>元，项目支出</w:t>
      </w:r>
      <w:r>
        <w:rPr>
          <w:rFonts w:ascii="仿宋_GB2312" w:eastAsia="仿宋_GB2312" w:hAnsi="宋体" w:hint="eastAsia"/>
          <w:sz w:val="30"/>
          <w:szCs w:val="30"/>
        </w:rPr>
        <w:t>78563</w:t>
      </w:r>
      <w:r>
        <w:rPr>
          <w:rFonts w:ascii="仿宋_GB2312" w:eastAsia="仿宋_GB2312" w:hAnsi="宋体"/>
          <w:sz w:val="30"/>
          <w:szCs w:val="30"/>
        </w:rPr>
        <w:t>万元，经营支出</w:t>
      </w:r>
      <w:r>
        <w:rPr>
          <w:rFonts w:ascii="仿宋_GB2312" w:eastAsia="仿宋_GB2312" w:hAnsi="宋体" w:hint="eastAsia"/>
          <w:sz w:val="30"/>
          <w:szCs w:val="30"/>
        </w:rPr>
        <w:t>13483</w:t>
      </w:r>
      <w:r>
        <w:rPr>
          <w:rFonts w:ascii="仿宋_GB2312" w:eastAsia="仿宋_GB2312" w:hAnsi="宋体"/>
          <w:sz w:val="30"/>
          <w:szCs w:val="30"/>
        </w:rPr>
        <w:t>万元</w:t>
      </w:r>
      <w:r>
        <w:rPr>
          <w:rFonts w:ascii="仿宋_GB2312" w:eastAsia="仿宋_GB2312" w:hAnsi="宋体" w:hint="eastAsia"/>
          <w:sz w:val="30"/>
          <w:szCs w:val="30"/>
        </w:rPr>
        <w:t>。</w:t>
      </w:r>
    </w:p>
    <w:p w:rsidR="00C72C06" w:rsidRDefault="00CA4AE2">
      <w:pPr>
        <w:rPr>
          <w:rFonts w:ascii="楷体" w:eastAsia="楷体" w:hAnsi="楷体"/>
          <w:b/>
          <w:sz w:val="30"/>
          <w:szCs w:val="30"/>
        </w:rPr>
      </w:pPr>
      <w:r>
        <w:rPr>
          <w:rFonts w:ascii="楷体" w:eastAsia="楷体" w:hAnsi="楷体" w:hint="eastAsia"/>
          <w:b/>
          <w:sz w:val="30"/>
          <w:szCs w:val="30"/>
        </w:rPr>
        <w:t>3</w:t>
      </w:r>
      <w:r>
        <w:rPr>
          <w:rFonts w:ascii="楷体" w:eastAsia="楷体" w:hAnsi="楷体" w:hint="eastAsia"/>
          <w:b/>
          <w:sz w:val="30"/>
          <w:szCs w:val="30"/>
        </w:rPr>
        <w:t>、内部管理制度建设情况</w:t>
      </w:r>
    </w:p>
    <w:p w:rsidR="00C72C06" w:rsidRDefault="00CA4AE2">
      <w:pPr>
        <w:snapToGrid w:val="0"/>
        <w:spacing w:line="360" w:lineRule="auto"/>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w:t>
      </w:r>
      <w:r>
        <w:rPr>
          <w:rFonts w:ascii="仿宋_GB2312" w:eastAsia="仿宋_GB2312" w:hAnsi="宋体" w:hint="eastAsia"/>
          <w:b/>
          <w:sz w:val="30"/>
          <w:szCs w:val="30"/>
        </w:rPr>
        <w:t>1</w:t>
      </w:r>
      <w:r>
        <w:rPr>
          <w:rFonts w:ascii="仿宋_GB2312" w:eastAsia="仿宋_GB2312" w:hAnsi="宋体" w:hint="eastAsia"/>
          <w:b/>
          <w:sz w:val="30"/>
          <w:szCs w:val="30"/>
        </w:rPr>
        <w:t>）财务管理制度建立健全及执行情况</w:t>
      </w:r>
    </w:p>
    <w:p w:rsidR="00C72C06" w:rsidRDefault="00CA4AE2">
      <w:pPr>
        <w:snapToGrid w:val="0"/>
        <w:spacing w:line="360" w:lineRule="auto"/>
        <w:ind w:firstLineChars="200" w:firstLine="600"/>
        <w:outlineLvl w:val="0"/>
        <w:rPr>
          <w:rFonts w:ascii="仿宋_GB2312" w:eastAsia="仿宋_GB2312" w:hAnsi="宋体"/>
          <w:sz w:val="30"/>
          <w:szCs w:val="30"/>
        </w:rPr>
      </w:pPr>
      <w:bookmarkStart w:id="0" w:name="_GoBack"/>
      <w:bookmarkEnd w:id="0"/>
      <w:r>
        <w:rPr>
          <w:rFonts w:ascii="仿宋_GB2312" w:eastAsia="仿宋_GB2312" w:hAnsi="宋体" w:hint="eastAsia"/>
          <w:sz w:val="30"/>
          <w:szCs w:val="30"/>
        </w:rPr>
        <w:t>华南农业大学依据国家的相关律法规，结合学校及科技经费</w:t>
      </w:r>
      <w:r>
        <w:rPr>
          <w:rFonts w:ascii="仿宋_GB2312" w:eastAsia="仿宋_GB2312" w:hAnsi="宋体" w:hint="eastAsia"/>
          <w:sz w:val="30"/>
          <w:szCs w:val="30"/>
        </w:rPr>
        <w:lastRenderedPageBreak/>
        <w:t>财务管理实际情况，制定了完整的内部控制制度，主要包括：《华南农业大学关于进一步加强财务管理工作的意见》、《华南农业大学财务管理实施细则》、《华南农业大学自然科学类纵向科研项目与资金管理办法（试行）》、《华南农业大学人文社科类纵向科研项目与资金管理办法（试行）》、</w:t>
      </w:r>
      <w:r>
        <w:rPr>
          <w:rFonts w:ascii="仿宋_GB2312" w:eastAsia="仿宋_GB2312" w:hAnsi="宋体" w:hint="eastAsia"/>
          <w:sz w:val="30"/>
          <w:szCs w:val="30"/>
        </w:rPr>
        <w:t>《华南农业大学纵向科研项目结余经费管理办法（试行）》、</w:t>
      </w:r>
      <w:r>
        <w:rPr>
          <w:rFonts w:ascii="仿宋_GB2312" w:eastAsia="仿宋_GB2312" w:hAnsi="宋体" w:hint="eastAsia"/>
          <w:sz w:val="30"/>
          <w:szCs w:val="30"/>
        </w:rPr>
        <w:t>《华南农业大学差旅费管理办法》、《华南农业大学招标投标管理办法》、《华南农业大学国有资产管理办法》、《华南农业大学经济责任制》、《华南农业大学财</w:t>
      </w:r>
      <w:r>
        <w:rPr>
          <w:rFonts w:ascii="仿宋_GB2312" w:eastAsia="仿宋_GB2312" w:hAnsi="宋体" w:hint="eastAsia"/>
          <w:sz w:val="30"/>
          <w:szCs w:val="30"/>
        </w:rPr>
        <w:t>务收支审计实施办法》、《华南农业大学科研经费审计实施办法（试行）》等。在执行过程中，能够按制度规定和标准控制经费支出，按规定的审批程序保证专项经费的使用。</w:t>
      </w:r>
    </w:p>
    <w:p w:rsidR="00C72C06" w:rsidRDefault="00CA4AE2">
      <w:pPr>
        <w:snapToGrid w:val="0"/>
        <w:spacing w:line="360" w:lineRule="auto"/>
        <w:ind w:firstLineChars="200" w:firstLine="600"/>
        <w:outlineLvl w:val="0"/>
        <w:rPr>
          <w:rFonts w:ascii="仿宋_GB2312" w:eastAsia="仿宋_GB2312" w:hAnsi="宋体"/>
          <w:sz w:val="30"/>
          <w:szCs w:val="30"/>
        </w:rPr>
      </w:pPr>
      <w:r>
        <w:rPr>
          <w:rFonts w:ascii="仿宋_GB2312" w:eastAsia="仿宋_GB2312" w:hAnsi="宋体" w:hint="eastAsia"/>
          <w:sz w:val="30"/>
          <w:szCs w:val="30"/>
        </w:rPr>
        <w:t>学校实行党委领导下的校长负责制，实行“统一领导，集中核算”的财务管理体制，校长对学校财务工作统一领导。</w:t>
      </w:r>
      <w:r>
        <w:rPr>
          <w:rFonts w:ascii="仿宋_GB2312" w:eastAsia="仿宋_GB2312" w:hAnsi="宋体" w:hint="eastAsia"/>
          <w:sz w:val="30"/>
          <w:szCs w:val="30"/>
        </w:rPr>
        <w:t>财务处共设</w:t>
      </w:r>
      <w:r>
        <w:rPr>
          <w:rFonts w:ascii="仿宋_GB2312" w:eastAsia="仿宋_GB2312" w:hAnsi="宋体" w:hint="eastAsia"/>
          <w:sz w:val="30"/>
          <w:szCs w:val="30"/>
        </w:rPr>
        <w:t>9</w:t>
      </w:r>
      <w:r>
        <w:rPr>
          <w:rFonts w:ascii="仿宋_GB2312" w:eastAsia="仿宋_GB2312" w:hAnsi="宋体" w:hint="eastAsia"/>
          <w:sz w:val="30"/>
          <w:szCs w:val="30"/>
        </w:rPr>
        <w:t>个科室，财务人员共</w:t>
      </w:r>
      <w:r>
        <w:rPr>
          <w:rFonts w:ascii="仿宋_GB2312" w:eastAsia="仿宋_GB2312" w:hAnsi="宋体" w:hint="eastAsia"/>
          <w:sz w:val="30"/>
          <w:szCs w:val="30"/>
        </w:rPr>
        <w:t>40</w:t>
      </w:r>
      <w:r>
        <w:rPr>
          <w:rFonts w:ascii="仿宋_GB2312" w:eastAsia="仿宋_GB2312" w:hAnsi="宋体" w:hint="eastAsia"/>
          <w:sz w:val="30"/>
          <w:szCs w:val="30"/>
        </w:rPr>
        <w:t>人，其中：高级职称</w:t>
      </w:r>
      <w:r>
        <w:rPr>
          <w:rFonts w:ascii="仿宋_GB2312" w:eastAsia="仿宋_GB2312" w:hAnsi="宋体" w:hint="eastAsia"/>
          <w:sz w:val="30"/>
          <w:szCs w:val="30"/>
        </w:rPr>
        <w:t>10</w:t>
      </w:r>
      <w:r>
        <w:rPr>
          <w:rFonts w:ascii="仿宋_GB2312" w:eastAsia="仿宋_GB2312" w:hAnsi="宋体" w:hint="eastAsia"/>
          <w:sz w:val="30"/>
          <w:szCs w:val="30"/>
        </w:rPr>
        <w:t>人，中职职称</w:t>
      </w:r>
      <w:r>
        <w:rPr>
          <w:rFonts w:ascii="仿宋_GB2312" w:eastAsia="仿宋_GB2312" w:hAnsi="宋体" w:hint="eastAsia"/>
          <w:sz w:val="30"/>
          <w:szCs w:val="30"/>
        </w:rPr>
        <w:t>22</w:t>
      </w:r>
      <w:r>
        <w:rPr>
          <w:rFonts w:ascii="仿宋_GB2312" w:eastAsia="仿宋_GB2312" w:hAnsi="宋体" w:hint="eastAsia"/>
          <w:sz w:val="30"/>
          <w:szCs w:val="30"/>
        </w:rPr>
        <w:t>人，其他人员</w:t>
      </w:r>
      <w:r>
        <w:rPr>
          <w:rFonts w:ascii="仿宋_GB2312" w:eastAsia="仿宋_GB2312" w:hAnsi="宋体" w:hint="eastAsia"/>
          <w:sz w:val="30"/>
          <w:szCs w:val="30"/>
        </w:rPr>
        <w:t>8</w:t>
      </w:r>
      <w:r>
        <w:rPr>
          <w:rFonts w:ascii="仿宋_GB2312" w:eastAsia="仿宋_GB2312" w:hAnsi="宋体" w:hint="eastAsia"/>
          <w:sz w:val="30"/>
          <w:szCs w:val="30"/>
        </w:rPr>
        <w:t>人。</w:t>
      </w:r>
    </w:p>
    <w:p w:rsidR="00C72C06" w:rsidRDefault="00CA4AE2">
      <w:pPr>
        <w:snapToGrid w:val="0"/>
        <w:spacing w:line="360" w:lineRule="auto"/>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w:t>
      </w:r>
      <w:r>
        <w:rPr>
          <w:rFonts w:ascii="仿宋_GB2312" w:eastAsia="仿宋_GB2312" w:hAnsi="宋体" w:hint="eastAsia"/>
          <w:b/>
          <w:sz w:val="30"/>
          <w:szCs w:val="30"/>
        </w:rPr>
        <w:t>2</w:t>
      </w:r>
      <w:r>
        <w:rPr>
          <w:rFonts w:ascii="仿宋_GB2312" w:eastAsia="仿宋_GB2312" w:hAnsi="宋体" w:hint="eastAsia"/>
          <w:b/>
          <w:sz w:val="30"/>
          <w:szCs w:val="30"/>
        </w:rPr>
        <w:t>）会计核算和财务信息情况</w:t>
      </w:r>
    </w:p>
    <w:p w:rsidR="00C72C06" w:rsidRDefault="00CA4AE2">
      <w:pPr>
        <w:spacing w:line="360" w:lineRule="auto"/>
        <w:ind w:firstLineChars="200" w:firstLine="600"/>
        <w:rPr>
          <w:rFonts w:ascii="仿宋_GB2312" w:eastAsia="仿宋_GB2312"/>
          <w:sz w:val="30"/>
          <w:szCs w:val="30"/>
        </w:rPr>
      </w:pPr>
      <w:r>
        <w:rPr>
          <w:rFonts w:ascii="仿宋_GB2312" w:eastAsia="仿宋_GB2312" w:hint="eastAsia"/>
          <w:sz w:val="30"/>
          <w:szCs w:val="30"/>
        </w:rPr>
        <w:t>我校会计和财务管理工作严格遵守《会计法》和《高等学校会计制度》等制度，财务处统一核算学校科技项目发生的经济业务。在符合国家正常财务核</w:t>
      </w:r>
      <w:r>
        <w:rPr>
          <w:rFonts w:ascii="仿宋_GB2312" w:eastAsia="仿宋_GB2312" w:hint="eastAsia"/>
          <w:sz w:val="30"/>
          <w:szCs w:val="30"/>
        </w:rPr>
        <w:t>算对财务工作要求的前提下，利用电算化手段设置了分部门、分项目的财务核算体系，确保会计凭证、会计账簿、会计报告和其他会计资料真实完整。</w:t>
      </w:r>
    </w:p>
    <w:p w:rsidR="00C72C06" w:rsidRDefault="00CA4AE2">
      <w:pPr>
        <w:snapToGrid w:val="0"/>
        <w:spacing w:line="360" w:lineRule="auto"/>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w:t>
      </w:r>
      <w:r>
        <w:rPr>
          <w:rFonts w:ascii="仿宋_GB2312" w:eastAsia="仿宋_GB2312" w:hAnsi="宋体" w:hint="eastAsia"/>
          <w:b/>
          <w:sz w:val="30"/>
          <w:szCs w:val="30"/>
        </w:rPr>
        <w:t>3</w:t>
      </w:r>
      <w:r>
        <w:rPr>
          <w:rFonts w:ascii="仿宋_GB2312" w:eastAsia="仿宋_GB2312" w:hAnsi="宋体" w:hint="eastAsia"/>
          <w:b/>
          <w:sz w:val="30"/>
          <w:szCs w:val="30"/>
        </w:rPr>
        <w:t>）科技项目财务实施管理情况</w:t>
      </w:r>
    </w:p>
    <w:p w:rsidR="00C72C06" w:rsidRDefault="00CA4AE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科技经费设置项目辅助账，项目经费单独设卡管理，实行“一</w:t>
      </w:r>
      <w:r>
        <w:rPr>
          <w:rFonts w:ascii="仿宋_GB2312" w:eastAsia="仿宋_GB2312" w:hAnsi="宋体" w:hint="eastAsia"/>
          <w:sz w:val="30"/>
          <w:szCs w:val="30"/>
        </w:rPr>
        <w:lastRenderedPageBreak/>
        <w:t>项一卡”制度，确保科技经费专款专用，财务信息真实有效。</w:t>
      </w:r>
    </w:p>
    <w:p w:rsidR="00C72C06" w:rsidRDefault="00CA4AE2">
      <w:pPr>
        <w:snapToGrid w:val="0"/>
        <w:spacing w:line="360" w:lineRule="auto"/>
        <w:ind w:firstLineChars="200" w:firstLine="600"/>
        <w:outlineLvl w:val="0"/>
        <w:rPr>
          <w:rFonts w:ascii="楷体" w:eastAsia="楷体" w:hAnsi="楷体"/>
          <w:b/>
          <w:sz w:val="30"/>
          <w:szCs w:val="30"/>
        </w:rPr>
      </w:pPr>
      <w:r>
        <w:rPr>
          <w:rFonts w:ascii="仿宋_GB2312" w:eastAsia="仿宋_GB2312" w:hAnsi="宋体" w:hint="eastAsia"/>
          <w:sz w:val="30"/>
          <w:szCs w:val="30"/>
        </w:rPr>
        <w:t>该项目各承担单位依据国家相关法规，执行财务会计管理制度和单位内部控制制度，财务管理与会计核算在单位统一管理下实行项目负责人制，严格执行单位的经费支出审批程序，对项目经费支出实行详细预算控制和辅助会计核算，为单位集中财务核算和项目组提供真实准确的基础资料，确保了资金专款专用，会计科目设置规范，专项资金无用于规定不允许支出的范围，项目的财务档案资料按会计制度规定由单位统一保存管理。</w:t>
      </w:r>
    </w:p>
    <w:sectPr w:rsidR="00C72C06" w:rsidSect="00C72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AE2" w:rsidRDefault="00CA4AE2" w:rsidP="00B473A7">
      <w:r>
        <w:separator/>
      </w:r>
    </w:p>
  </w:endnote>
  <w:endnote w:type="continuationSeparator" w:id="1">
    <w:p w:rsidR="00CA4AE2" w:rsidRDefault="00CA4AE2" w:rsidP="00B47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A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AE2" w:rsidRDefault="00CA4AE2" w:rsidP="00B473A7">
      <w:r>
        <w:separator/>
      </w:r>
    </w:p>
  </w:footnote>
  <w:footnote w:type="continuationSeparator" w:id="1">
    <w:p w:rsidR="00CA4AE2" w:rsidRDefault="00CA4AE2" w:rsidP="00B47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1320"/>
    <w:multiLevelType w:val="multilevel"/>
    <w:tmpl w:val="1E64132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92360"/>
    <w:rsid w:val="00003D66"/>
    <w:rsid w:val="00015FC5"/>
    <w:rsid w:val="00017DA7"/>
    <w:rsid w:val="00017EF2"/>
    <w:rsid w:val="0002160D"/>
    <w:rsid w:val="00021809"/>
    <w:rsid w:val="0002185D"/>
    <w:rsid w:val="00021980"/>
    <w:rsid w:val="000246B4"/>
    <w:rsid w:val="00027467"/>
    <w:rsid w:val="0002789B"/>
    <w:rsid w:val="000348B3"/>
    <w:rsid w:val="00034990"/>
    <w:rsid w:val="000377DF"/>
    <w:rsid w:val="000401AF"/>
    <w:rsid w:val="0004512B"/>
    <w:rsid w:val="0004553C"/>
    <w:rsid w:val="00046E0E"/>
    <w:rsid w:val="000555AB"/>
    <w:rsid w:val="00057CBD"/>
    <w:rsid w:val="0006096A"/>
    <w:rsid w:val="00062B4E"/>
    <w:rsid w:val="000657D7"/>
    <w:rsid w:val="000717D4"/>
    <w:rsid w:val="00075176"/>
    <w:rsid w:val="00075E17"/>
    <w:rsid w:val="00077BC5"/>
    <w:rsid w:val="00087319"/>
    <w:rsid w:val="0009273A"/>
    <w:rsid w:val="00097675"/>
    <w:rsid w:val="000A24C7"/>
    <w:rsid w:val="000B2803"/>
    <w:rsid w:val="000B2DD4"/>
    <w:rsid w:val="000B4790"/>
    <w:rsid w:val="000B64FC"/>
    <w:rsid w:val="000C453F"/>
    <w:rsid w:val="000D1805"/>
    <w:rsid w:val="000D473F"/>
    <w:rsid w:val="000E18D0"/>
    <w:rsid w:val="000E5E61"/>
    <w:rsid w:val="000E7088"/>
    <w:rsid w:val="000F017A"/>
    <w:rsid w:val="000F3CD0"/>
    <w:rsid w:val="000F41AE"/>
    <w:rsid w:val="000F43D1"/>
    <w:rsid w:val="000F5C1B"/>
    <w:rsid w:val="00105320"/>
    <w:rsid w:val="00105A26"/>
    <w:rsid w:val="00106A07"/>
    <w:rsid w:val="0011237B"/>
    <w:rsid w:val="001135FB"/>
    <w:rsid w:val="00116CFB"/>
    <w:rsid w:val="00120EA6"/>
    <w:rsid w:val="00126AA4"/>
    <w:rsid w:val="0012791D"/>
    <w:rsid w:val="001321FC"/>
    <w:rsid w:val="001352EA"/>
    <w:rsid w:val="00136E3C"/>
    <w:rsid w:val="00137C3A"/>
    <w:rsid w:val="00140414"/>
    <w:rsid w:val="001501D1"/>
    <w:rsid w:val="00154CD9"/>
    <w:rsid w:val="001608E9"/>
    <w:rsid w:val="001622D4"/>
    <w:rsid w:val="00162426"/>
    <w:rsid w:val="00163779"/>
    <w:rsid w:val="00170B88"/>
    <w:rsid w:val="00175FFD"/>
    <w:rsid w:val="001775EA"/>
    <w:rsid w:val="0018185B"/>
    <w:rsid w:val="0018201D"/>
    <w:rsid w:val="00187E49"/>
    <w:rsid w:val="001A052E"/>
    <w:rsid w:val="001A118D"/>
    <w:rsid w:val="001A5ECC"/>
    <w:rsid w:val="001B66B1"/>
    <w:rsid w:val="001C1319"/>
    <w:rsid w:val="001D2C3B"/>
    <w:rsid w:val="001E2FB8"/>
    <w:rsid w:val="001E6125"/>
    <w:rsid w:val="001F2632"/>
    <w:rsid w:val="002036C7"/>
    <w:rsid w:val="0020412B"/>
    <w:rsid w:val="002069EA"/>
    <w:rsid w:val="00207575"/>
    <w:rsid w:val="00220606"/>
    <w:rsid w:val="00222CD5"/>
    <w:rsid w:val="0022545D"/>
    <w:rsid w:val="00234F81"/>
    <w:rsid w:val="00235292"/>
    <w:rsid w:val="00235862"/>
    <w:rsid w:val="00240337"/>
    <w:rsid w:val="002421CB"/>
    <w:rsid w:val="00242C0B"/>
    <w:rsid w:val="0024450F"/>
    <w:rsid w:val="0025051B"/>
    <w:rsid w:val="00251B18"/>
    <w:rsid w:val="002543DF"/>
    <w:rsid w:val="002603C3"/>
    <w:rsid w:val="00262CDD"/>
    <w:rsid w:val="00262FAB"/>
    <w:rsid w:val="002644C6"/>
    <w:rsid w:val="0026478D"/>
    <w:rsid w:val="002657F4"/>
    <w:rsid w:val="002767C5"/>
    <w:rsid w:val="00284206"/>
    <w:rsid w:val="0028553D"/>
    <w:rsid w:val="00291628"/>
    <w:rsid w:val="002940E1"/>
    <w:rsid w:val="002B19E6"/>
    <w:rsid w:val="002B3220"/>
    <w:rsid w:val="002B5311"/>
    <w:rsid w:val="002B7CAA"/>
    <w:rsid w:val="002C550E"/>
    <w:rsid w:val="002C6F3C"/>
    <w:rsid w:val="002E3642"/>
    <w:rsid w:val="002E54E8"/>
    <w:rsid w:val="002F0656"/>
    <w:rsid w:val="002F50C8"/>
    <w:rsid w:val="002F6FC9"/>
    <w:rsid w:val="00300AAF"/>
    <w:rsid w:val="0031044A"/>
    <w:rsid w:val="00314317"/>
    <w:rsid w:val="00322A92"/>
    <w:rsid w:val="00322F5F"/>
    <w:rsid w:val="003230A6"/>
    <w:rsid w:val="00332059"/>
    <w:rsid w:val="003331A3"/>
    <w:rsid w:val="00333F0D"/>
    <w:rsid w:val="003375AD"/>
    <w:rsid w:val="00353A46"/>
    <w:rsid w:val="0036343F"/>
    <w:rsid w:val="00367B6B"/>
    <w:rsid w:val="00371018"/>
    <w:rsid w:val="0037118C"/>
    <w:rsid w:val="00382340"/>
    <w:rsid w:val="00382910"/>
    <w:rsid w:val="0039145E"/>
    <w:rsid w:val="003922C5"/>
    <w:rsid w:val="0039262A"/>
    <w:rsid w:val="00395B9E"/>
    <w:rsid w:val="00397A55"/>
    <w:rsid w:val="003A0034"/>
    <w:rsid w:val="003A0E86"/>
    <w:rsid w:val="003B1B7A"/>
    <w:rsid w:val="003B529D"/>
    <w:rsid w:val="003B5BAA"/>
    <w:rsid w:val="003C33EB"/>
    <w:rsid w:val="003C4EE1"/>
    <w:rsid w:val="003C6D43"/>
    <w:rsid w:val="003C7AE2"/>
    <w:rsid w:val="003C7C56"/>
    <w:rsid w:val="003D1CCA"/>
    <w:rsid w:val="003D6CD2"/>
    <w:rsid w:val="003E04C8"/>
    <w:rsid w:val="003F3487"/>
    <w:rsid w:val="003F50E3"/>
    <w:rsid w:val="004013F8"/>
    <w:rsid w:val="00401689"/>
    <w:rsid w:val="0040375D"/>
    <w:rsid w:val="00403AE6"/>
    <w:rsid w:val="00403F8E"/>
    <w:rsid w:val="004055E0"/>
    <w:rsid w:val="004079DF"/>
    <w:rsid w:val="004105A1"/>
    <w:rsid w:val="00412564"/>
    <w:rsid w:val="00422B5C"/>
    <w:rsid w:val="004321B5"/>
    <w:rsid w:val="00433034"/>
    <w:rsid w:val="00436B1B"/>
    <w:rsid w:val="0045230C"/>
    <w:rsid w:val="00453A86"/>
    <w:rsid w:val="00455DB3"/>
    <w:rsid w:val="00456144"/>
    <w:rsid w:val="00456C20"/>
    <w:rsid w:val="00463235"/>
    <w:rsid w:val="00471FD1"/>
    <w:rsid w:val="0047696D"/>
    <w:rsid w:val="00485B41"/>
    <w:rsid w:val="00486F29"/>
    <w:rsid w:val="0048722D"/>
    <w:rsid w:val="00487514"/>
    <w:rsid w:val="00490BE0"/>
    <w:rsid w:val="00490CB5"/>
    <w:rsid w:val="004917BB"/>
    <w:rsid w:val="00491C7F"/>
    <w:rsid w:val="00492E50"/>
    <w:rsid w:val="004935F1"/>
    <w:rsid w:val="00494AA2"/>
    <w:rsid w:val="00494DF7"/>
    <w:rsid w:val="00494F34"/>
    <w:rsid w:val="004A43FE"/>
    <w:rsid w:val="004B0CB0"/>
    <w:rsid w:val="004B1035"/>
    <w:rsid w:val="004B1AFA"/>
    <w:rsid w:val="004B1C8A"/>
    <w:rsid w:val="004B33E5"/>
    <w:rsid w:val="004B5BA4"/>
    <w:rsid w:val="004B5F71"/>
    <w:rsid w:val="004C294B"/>
    <w:rsid w:val="004C6DF3"/>
    <w:rsid w:val="004C7698"/>
    <w:rsid w:val="004D4955"/>
    <w:rsid w:val="004E04B1"/>
    <w:rsid w:val="004E07E5"/>
    <w:rsid w:val="004E0DB3"/>
    <w:rsid w:val="004F5FE3"/>
    <w:rsid w:val="004F6988"/>
    <w:rsid w:val="00500FD1"/>
    <w:rsid w:val="005035B4"/>
    <w:rsid w:val="00507C2C"/>
    <w:rsid w:val="0051067C"/>
    <w:rsid w:val="00512DA7"/>
    <w:rsid w:val="00515BEF"/>
    <w:rsid w:val="00516E13"/>
    <w:rsid w:val="005171D3"/>
    <w:rsid w:val="0052738F"/>
    <w:rsid w:val="00530528"/>
    <w:rsid w:val="00534CFF"/>
    <w:rsid w:val="00540630"/>
    <w:rsid w:val="00543936"/>
    <w:rsid w:val="00545626"/>
    <w:rsid w:val="00552BF3"/>
    <w:rsid w:val="005530E8"/>
    <w:rsid w:val="00555454"/>
    <w:rsid w:val="00560AE1"/>
    <w:rsid w:val="00563ED5"/>
    <w:rsid w:val="005655B4"/>
    <w:rsid w:val="00570B76"/>
    <w:rsid w:val="005717D4"/>
    <w:rsid w:val="005732B8"/>
    <w:rsid w:val="00581926"/>
    <w:rsid w:val="00584941"/>
    <w:rsid w:val="00587DC6"/>
    <w:rsid w:val="0059155B"/>
    <w:rsid w:val="00591BB7"/>
    <w:rsid w:val="00592360"/>
    <w:rsid w:val="005A7935"/>
    <w:rsid w:val="005B0BDA"/>
    <w:rsid w:val="005C26DA"/>
    <w:rsid w:val="005D05DD"/>
    <w:rsid w:val="005D2C8B"/>
    <w:rsid w:val="005D4CA6"/>
    <w:rsid w:val="005D5DCE"/>
    <w:rsid w:val="005D72DE"/>
    <w:rsid w:val="005E4751"/>
    <w:rsid w:val="005E54B6"/>
    <w:rsid w:val="005E6F31"/>
    <w:rsid w:val="005E77D5"/>
    <w:rsid w:val="00600D5B"/>
    <w:rsid w:val="00603E80"/>
    <w:rsid w:val="00606CC3"/>
    <w:rsid w:val="00610D70"/>
    <w:rsid w:val="0062456E"/>
    <w:rsid w:val="0064038E"/>
    <w:rsid w:val="00642A9E"/>
    <w:rsid w:val="00664046"/>
    <w:rsid w:val="00664084"/>
    <w:rsid w:val="006700B8"/>
    <w:rsid w:val="00672BE3"/>
    <w:rsid w:val="00675788"/>
    <w:rsid w:val="00675F24"/>
    <w:rsid w:val="0067748E"/>
    <w:rsid w:val="00686319"/>
    <w:rsid w:val="006A1B0F"/>
    <w:rsid w:val="006A2DB0"/>
    <w:rsid w:val="006A3F2A"/>
    <w:rsid w:val="006B015F"/>
    <w:rsid w:val="006B7C44"/>
    <w:rsid w:val="006C02F3"/>
    <w:rsid w:val="006C13F8"/>
    <w:rsid w:val="006C35D3"/>
    <w:rsid w:val="006C39C5"/>
    <w:rsid w:val="006D13B6"/>
    <w:rsid w:val="006D3D63"/>
    <w:rsid w:val="006D5137"/>
    <w:rsid w:val="006D741E"/>
    <w:rsid w:val="006E24F1"/>
    <w:rsid w:val="006E33B9"/>
    <w:rsid w:val="006E55A5"/>
    <w:rsid w:val="006E5A4B"/>
    <w:rsid w:val="006F040C"/>
    <w:rsid w:val="006F1BF1"/>
    <w:rsid w:val="006F2C74"/>
    <w:rsid w:val="006F57DE"/>
    <w:rsid w:val="006F6ECF"/>
    <w:rsid w:val="00703303"/>
    <w:rsid w:val="00707405"/>
    <w:rsid w:val="00710DB0"/>
    <w:rsid w:val="00717656"/>
    <w:rsid w:val="00722684"/>
    <w:rsid w:val="0073071A"/>
    <w:rsid w:val="0073338D"/>
    <w:rsid w:val="00735972"/>
    <w:rsid w:val="00743AFE"/>
    <w:rsid w:val="00744EE2"/>
    <w:rsid w:val="00744F67"/>
    <w:rsid w:val="00752909"/>
    <w:rsid w:val="00754467"/>
    <w:rsid w:val="007561BC"/>
    <w:rsid w:val="007607E8"/>
    <w:rsid w:val="00761461"/>
    <w:rsid w:val="007658FA"/>
    <w:rsid w:val="007678E9"/>
    <w:rsid w:val="0078032D"/>
    <w:rsid w:val="00780500"/>
    <w:rsid w:val="00780CAD"/>
    <w:rsid w:val="007816BD"/>
    <w:rsid w:val="007818EA"/>
    <w:rsid w:val="00787220"/>
    <w:rsid w:val="00791D95"/>
    <w:rsid w:val="00793B5D"/>
    <w:rsid w:val="007969CA"/>
    <w:rsid w:val="007A1FC9"/>
    <w:rsid w:val="007A30E4"/>
    <w:rsid w:val="007A76C4"/>
    <w:rsid w:val="007A79D2"/>
    <w:rsid w:val="007A7C17"/>
    <w:rsid w:val="007B7D4A"/>
    <w:rsid w:val="007C278F"/>
    <w:rsid w:val="007C42F6"/>
    <w:rsid w:val="007C50B8"/>
    <w:rsid w:val="007C76B7"/>
    <w:rsid w:val="007C7E1D"/>
    <w:rsid w:val="007D070C"/>
    <w:rsid w:val="007D4225"/>
    <w:rsid w:val="007D5268"/>
    <w:rsid w:val="007D6A19"/>
    <w:rsid w:val="007F13F0"/>
    <w:rsid w:val="007F18AA"/>
    <w:rsid w:val="007F55F1"/>
    <w:rsid w:val="00800477"/>
    <w:rsid w:val="00802CA2"/>
    <w:rsid w:val="008054F7"/>
    <w:rsid w:val="00806CA6"/>
    <w:rsid w:val="00810C4B"/>
    <w:rsid w:val="008145C1"/>
    <w:rsid w:val="0081701B"/>
    <w:rsid w:val="008172C0"/>
    <w:rsid w:val="0083219F"/>
    <w:rsid w:val="008340EE"/>
    <w:rsid w:val="00837C45"/>
    <w:rsid w:val="00842D57"/>
    <w:rsid w:val="008501B4"/>
    <w:rsid w:val="0085142D"/>
    <w:rsid w:val="0085174D"/>
    <w:rsid w:val="00853702"/>
    <w:rsid w:val="00853DCA"/>
    <w:rsid w:val="00862760"/>
    <w:rsid w:val="008629C6"/>
    <w:rsid w:val="00864465"/>
    <w:rsid w:val="008661FC"/>
    <w:rsid w:val="008719F6"/>
    <w:rsid w:val="008748A6"/>
    <w:rsid w:val="008846B5"/>
    <w:rsid w:val="0089143D"/>
    <w:rsid w:val="00893B2A"/>
    <w:rsid w:val="00894B7F"/>
    <w:rsid w:val="008A06E1"/>
    <w:rsid w:val="008A0D39"/>
    <w:rsid w:val="008A1FE0"/>
    <w:rsid w:val="008A55DE"/>
    <w:rsid w:val="008A5BE3"/>
    <w:rsid w:val="008A6963"/>
    <w:rsid w:val="008A7760"/>
    <w:rsid w:val="008B165C"/>
    <w:rsid w:val="008B680B"/>
    <w:rsid w:val="008B7459"/>
    <w:rsid w:val="008C5F03"/>
    <w:rsid w:val="008C6045"/>
    <w:rsid w:val="008C7F3C"/>
    <w:rsid w:val="008D1255"/>
    <w:rsid w:val="008D3C20"/>
    <w:rsid w:val="008E13EA"/>
    <w:rsid w:val="008E1853"/>
    <w:rsid w:val="008E36A8"/>
    <w:rsid w:val="008E4308"/>
    <w:rsid w:val="008E727D"/>
    <w:rsid w:val="008F4FEA"/>
    <w:rsid w:val="00905BEC"/>
    <w:rsid w:val="00907955"/>
    <w:rsid w:val="00913E4C"/>
    <w:rsid w:val="00914883"/>
    <w:rsid w:val="00926964"/>
    <w:rsid w:val="009275BD"/>
    <w:rsid w:val="009276C3"/>
    <w:rsid w:val="009302A9"/>
    <w:rsid w:val="00930F3D"/>
    <w:rsid w:val="00935FE4"/>
    <w:rsid w:val="009368EF"/>
    <w:rsid w:val="0094104B"/>
    <w:rsid w:val="00941B11"/>
    <w:rsid w:val="00946D8C"/>
    <w:rsid w:val="00946FA8"/>
    <w:rsid w:val="0095607E"/>
    <w:rsid w:val="00957A44"/>
    <w:rsid w:val="00961444"/>
    <w:rsid w:val="009677D4"/>
    <w:rsid w:val="0097548E"/>
    <w:rsid w:val="009826C9"/>
    <w:rsid w:val="009A2473"/>
    <w:rsid w:val="009A33AE"/>
    <w:rsid w:val="009A53A6"/>
    <w:rsid w:val="009B741F"/>
    <w:rsid w:val="009B7863"/>
    <w:rsid w:val="009C12D5"/>
    <w:rsid w:val="009C33CF"/>
    <w:rsid w:val="009C602E"/>
    <w:rsid w:val="009D12E0"/>
    <w:rsid w:val="009D5E74"/>
    <w:rsid w:val="009D6633"/>
    <w:rsid w:val="009E14DD"/>
    <w:rsid w:val="009E6BE1"/>
    <w:rsid w:val="009E761E"/>
    <w:rsid w:val="009F13E7"/>
    <w:rsid w:val="009F21EF"/>
    <w:rsid w:val="00A016BC"/>
    <w:rsid w:val="00A01E8E"/>
    <w:rsid w:val="00A100FA"/>
    <w:rsid w:val="00A11A89"/>
    <w:rsid w:val="00A12A99"/>
    <w:rsid w:val="00A138F7"/>
    <w:rsid w:val="00A14A37"/>
    <w:rsid w:val="00A14FC1"/>
    <w:rsid w:val="00A17F5F"/>
    <w:rsid w:val="00A201A4"/>
    <w:rsid w:val="00A2079C"/>
    <w:rsid w:val="00A23935"/>
    <w:rsid w:val="00A24F23"/>
    <w:rsid w:val="00A26D88"/>
    <w:rsid w:val="00A27A7B"/>
    <w:rsid w:val="00A3346B"/>
    <w:rsid w:val="00A3584B"/>
    <w:rsid w:val="00A35D91"/>
    <w:rsid w:val="00A36383"/>
    <w:rsid w:val="00A36D9D"/>
    <w:rsid w:val="00A36FE7"/>
    <w:rsid w:val="00A471AA"/>
    <w:rsid w:val="00A50890"/>
    <w:rsid w:val="00A522C3"/>
    <w:rsid w:val="00A5284B"/>
    <w:rsid w:val="00A54DF6"/>
    <w:rsid w:val="00A60D1F"/>
    <w:rsid w:val="00A6527D"/>
    <w:rsid w:val="00A67287"/>
    <w:rsid w:val="00A702E0"/>
    <w:rsid w:val="00A70575"/>
    <w:rsid w:val="00A712C0"/>
    <w:rsid w:val="00A73D5F"/>
    <w:rsid w:val="00A76259"/>
    <w:rsid w:val="00A80325"/>
    <w:rsid w:val="00A80AAB"/>
    <w:rsid w:val="00A841FB"/>
    <w:rsid w:val="00A854EC"/>
    <w:rsid w:val="00A92325"/>
    <w:rsid w:val="00A9431C"/>
    <w:rsid w:val="00A9569E"/>
    <w:rsid w:val="00A95FB3"/>
    <w:rsid w:val="00AA24B5"/>
    <w:rsid w:val="00AA5A5E"/>
    <w:rsid w:val="00AA5D00"/>
    <w:rsid w:val="00AB06F6"/>
    <w:rsid w:val="00AB3BD9"/>
    <w:rsid w:val="00AB3E8E"/>
    <w:rsid w:val="00AB4588"/>
    <w:rsid w:val="00AB4D02"/>
    <w:rsid w:val="00AC5C71"/>
    <w:rsid w:val="00AD2BEB"/>
    <w:rsid w:val="00AD3596"/>
    <w:rsid w:val="00AD56F2"/>
    <w:rsid w:val="00AD5DD5"/>
    <w:rsid w:val="00AE4E69"/>
    <w:rsid w:val="00AE514C"/>
    <w:rsid w:val="00AF28B1"/>
    <w:rsid w:val="00AF6C99"/>
    <w:rsid w:val="00B01944"/>
    <w:rsid w:val="00B01A6B"/>
    <w:rsid w:val="00B03A37"/>
    <w:rsid w:val="00B03AA5"/>
    <w:rsid w:val="00B06B6F"/>
    <w:rsid w:val="00B10305"/>
    <w:rsid w:val="00B10C08"/>
    <w:rsid w:val="00B1102B"/>
    <w:rsid w:val="00B141C2"/>
    <w:rsid w:val="00B17A9C"/>
    <w:rsid w:val="00B20975"/>
    <w:rsid w:val="00B22543"/>
    <w:rsid w:val="00B271A0"/>
    <w:rsid w:val="00B33B59"/>
    <w:rsid w:val="00B3553E"/>
    <w:rsid w:val="00B368D2"/>
    <w:rsid w:val="00B36E9A"/>
    <w:rsid w:val="00B41652"/>
    <w:rsid w:val="00B43CC9"/>
    <w:rsid w:val="00B473A7"/>
    <w:rsid w:val="00B51674"/>
    <w:rsid w:val="00B527DD"/>
    <w:rsid w:val="00B52E95"/>
    <w:rsid w:val="00B5511D"/>
    <w:rsid w:val="00B55AF9"/>
    <w:rsid w:val="00B567F8"/>
    <w:rsid w:val="00B65DEA"/>
    <w:rsid w:val="00B7469C"/>
    <w:rsid w:val="00B75994"/>
    <w:rsid w:val="00B8577D"/>
    <w:rsid w:val="00B85DC1"/>
    <w:rsid w:val="00B87141"/>
    <w:rsid w:val="00B9218D"/>
    <w:rsid w:val="00B9228A"/>
    <w:rsid w:val="00B94163"/>
    <w:rsid w:val="00B969B9"/>
    <w:rsid w:val="00B971B5"/>
    <w:rsid w:val="00BA6321"/>
    <w:rsid w:val="00BA69A4"/>
    <w:rsid w:val="00BB2024"/>
    <w:rsid w:val="00BC157E"/>
    <w:rsid w:val="00BC21B8"/>
    <w:rsid w:val="00BC3AE0"/>
    <w:rsid w:val="00BC462D"/>
    <w:rsid w:val="00BC66B2"/>
    <w:rsid w:val="00BD1E2B"/>
    <w:rsid w:val="00BD2BF9"/>
    <w:rsid w:val="00BD613F"/>
    <w:rsid w:val="00BD6717"/>
    <w:rsid w:val="00BD7E7D"/>
    <w:rsid w:val="00BD7F06"/>
    <w:rsid w:val="00BE3B78"/>
    <w:rsid w:val="00BE3F3E"/>
    <w:rsid w:val="00BF1F8D"/>
    <w:rsid w:val="00BF5454"/>
    <w:rsid w:val="00C02EE7"/>
    <w:rsid w:val="00C05C27"/>
    <w:rsid w:val="00C06B76"/>
    <w:rsid w:val="00C147A7"/>
    <w:rsid w:val="00C179F7"/>
    <w:rsid w:val="00C23EAB"/>
    <w:rsid w:val="00C2584F"/>
    <w:rsid w:val="00C26F0D"/>
    <w:rsid w:val="00C271FF"/>
    <w:rsid w:val="00C3209C"/>
    <w:rsid w:val="00C3348B"/>
    <w:rsid w:val="00C33965"/>
    <w:rsid w:val="00C41180"/>
    <w:rsid w:val="00C549C6"/>
    <w:rsid w:val="00C6022B"/>
    <w:rsid w:val="00C61BA1"/>
    <w:rsid w:val="00C62BA2"/>
    <w:rsid w:val="00C62E74"/>
    <w:rsid w:val="00C63BB4"/>
    <w:rsid w:val="00C63C86"/>
    <w:rsid w:val="00C64E62"/>
    <w:rsid w:val="00C6791C"/>
    <w:rsid w:val="00C67E02"/>
    <w:rsid w:val="00C71D5E"/>
    <w:rsid w:val="00C72BC3"/>
    <w:rsid w:val="00C72C06"/>
    <w:rsid w:val="00C8605C"/>
    <w:rsid w:val="00C903DA"/>
    <w:rsid w:val="00C930CE"/>
    <w:rsid w:val="00CA17CD"/>
    <w:rsid w:val="00CA222F"/>
    <w:rsid w:val="00CA2CD0"/>
    <w:rsid w:val="00CA41EA"/>
    <w:rsid w:val="00CA4AE2"/>
    <w:rsid w:val="00CA5AF5"/>
    <w:rsid w:val="00CB13C1"/>
    <w:rsid w:val="00CB23FF"/>
    <w:rsid w:val="00CB2CD7"/>
    <w:rsid w:val="00CB5390"/>
    <w:rsid w:val="00CC0CDA"/>
    <w:rsid w:val="00CC15A7"/>
    <w:rsid w:val="00CC16CA"/>
    <w:rsid w:val="00CD2838"/>
    <w:rsid w:val="00CD2BCA"/>
    <w:rsid w:val="00CD40B4"/>
    <w:rsid w:val="00CE5B8D"/>
    <w:rsid w:val="00CE7A6B"/>
    <w:rsid w:val="00CF07F4"/>
    <w:rsid w:val="00CF4078"/>
    <w:rsid w:val="00CF51D4"/>
    <w:rsid w:val="00D00E6D"/>
    <w:rsid w:val="00D00EA6"/>
    <w:rsid w:val="00D00F91"/>
    <w:rsid w:val="00D062C3"/>
    <w:rsid w:val="00D122B5"/>
    <w:rsid w:val="00D14D1B"/>
    <w:rsid w:val="00D14FE0"/>
    <w:rsid w:val="00D2063A"/>
    <w:rsid w:val="00D21C55"/>
    <w:rsid w:val="00D3109C"/>
    <w:rsid w:val="00D31F61"/>
    <w:rsid w:val="00D3492F"/>
    <w:rsid w:val="00D440D3"/>
    <w:rsid w:val="00D4474D"/>
    <w:rsid w:val="00D44D40"/>
    <w:rsid w:val="00D464BB"/>
    <w:rsid w:val="00D51BEA"/>
    <w:rsid w:val="00D611B0"/>
    <w:rsid w:val="00D63D50"/>
    <w:rsid w:val="00D64BEC"/>
    <w:rsid w:val="00D66F1B"/>
    <w:rsid w:val="00D7305A"/>
    <w:rsid w:val="00D731DB"/>
    <w:rsid w:val="00D83998"/>
    <w:rsid w:val="00D85509"/>
    <w:rsid w:val="00D85802"/>
    <w:rsid w:val="00D86648"/>
    <w:rsid w:val="00D94BD5"/>
    <w:rsid w:val="00D97300"/>
    <w:rsid w:val="00DA4255"/>
    <w:rsid w:val="00DA4AEB"/>
    <w:rsid w:val="00DA579F"/>
    <w:rsid w:val="00DA5C4C"/>
    <w:rsid w:val="00DA6CE7"/>
    <w:rsid w:val="00DC14B0"/>
    <w:rsid w:val="00DC388F"/>
    <w:rsid w:val="00DC46EB"/>
    <w:rsid w:val="00DC5980"/>
    <w:rsid w:val="00DC59FB"/>
    <w:rsid w:val="00DC7676"/>
    <w:rsid w:val="00DD1409"/>
    <w:rsid w:val="00DD41B5"/>
    <w:rsid w:val="00DE10D4"/>
    <w:rsid w:val="00DE28C6"/>
    <w:rsid w:val="00DE4959"/>
    <w:rsid w:val="00DE7707"/>
    <w:rsid w:val="00DF3CF5"/>
    <w:rsid w:val="00DF3F75"/>
    <w:rsid w:val="00E02E29"/>
    <w:rsid w:val="00E07E5F"/>
    <w:rsid w:val="00E10114"/>
    <w:rsid w:val="00E14EF6"/>
    <w:rsid w:val="00E155F2"/>
    <w:rsid w:val="00E20435"/>
    <w:rsid w:val="00E223BE"/>
    <w:rsid w:val="00E2393A"/>
    <w:rsid w:val="00E246A3"/>
    <w:rsid w:val="00E27276"/>
    <w:rsid w:val="00E27901"/>
    <w:rsid w:val="00E300D3"/>
    <w:rsid w:val="00E34F00"/>
    <w:rsid w:val="00E37D47"/>
    <w:rsid w:val="00E42F0F"/>
    <w:rsid w:val="00E442ED"/>
    <w:rsid w:val="00E4444C"/>
    <w:rsid w:val="00E45FE0"/>
    <w:rsid w:val="00E62C04"/>
    <w:rsid w:val="00E72927"/>
    <w:rsid w:val="00E74FA4"/>
    <w:rsid w:val="00E75B81"/>
    <w:rsid w:val="00E76735"/>
    <w:rsid w:val="00E91952"/>
    <w:rsid w:val="00E97370"/>
    <w:rsid w:val="00E97991"/>
    <w:rsid w:val="00EA469B"/>
    <w:rsid w:val="00EB0B4B"/>
    <w:rsid w:val="00EB7294"/>
    <w:rsid w:val="00EC0554"/>
    <w:rsid w:val="00EC087B"/>
    <w:rsid w:val="00ED531D"/>
    <w:rsid w:val="00EE0743"/>
    <w:rsid w:val="00EE3946"/>
    <w:rsid w:val="00EE39E0"/>
    <w:rsid w:val="00EE4EC5"/>
    <w:rsid w:val="00EE6896"/>
    <w:rsid w:val="00EF06D5"/>
    <w:rsid w:val="00EF3813"/>
    <w:rsid w:val="00EF57E6"/>
    <w:rsid w:val="00EF5F0F"/>
    <w:rsid w:val="00F10F05"/>
    <w:rsid w:val="00F11218"/>
    <w:rsid w:val="00F12E99"/>
    <w:rsid w:val="00F13707"/>
    <w:rsid w:val="00F145D3"/>
    <w:rsid w:val="00F14D4C"/>
    <w:rsid w:val="00F22E90"/>
    <w:rsid w:val="00F237FB"/>
    <w:rsid w:val="00F23B9B"/>
    <w:rsid w:val="00F248CE"/>
    <w:rsid w:val="00F26DAD"/>
    <w:rsid w:val="00F30D9C"/>
    <w:rsid w:val="00F318C6"/>
    <w:rsid w:val="00F3281B"/>
    <w:rsid w:val="00F36539"/>
    <w:rsid w:val="00F36FA4"/>
    <w:rsid w:val="00F37ABF"/>
    <w:rsid w:val="00F422CF"/>
    <w:rsid w:val="00F47951"/>
    <w:rsid w:val="00F50169"/>
    <w:rsid w:val="00F50814"/>
    <w:rsid w:val="00F54DF5"/>
    <w:rsid w:val="00F567FC"/>
    <w:rsid w:val="00F60B18"/>
    <w:rsid w:val="00F6607A"/>
    <w:rsid w:val="00F66678"/>
    <w:rsid w:val="00F812FC"/>
    <w:rsid w:val="00F8480D"/>
    <w:rsid w:val="00F84B46"/>
    <w:rsid w:val="00F9043D"/>
    <w:rsid w:val="00F945CA"/>
    <w:rsid w:val="00F95D37"/>
    <w:rsid w:val="00F96753"/>
    <w:rsid w:val="00FA0887"/>
    <w:rsid w:val="00FA1967"/>
    <w:rsid w:val="00FA6000"/>
    <w:rsid w:val="00FA6C6E"/>
    <w:rsid w:val="00FB0D0F"/>
    <w:rsid w:val="00FB30B7"/>
    <w:rsid w:val="00FB34D9"/>
    <w:rsid w:val="00FB54D0"/>
    <w:rsid w:val="00FC0585"/>
    <w:rsid w:val="00FC65D0"/>
    <w:rsid w:val="00FC6F8C"/>
    <w:rsid w:val="00FD6F83"/>
    <w:rsid w:val="00FD7DF6"/>
    <w:rsid w:val="00FE4ECE"/>
    <w:rsid w:val="00FF6EE1"/>
    <w:rsid w:val="00FF7C8E"/>
    <w:rsid w:val="3C0D4151"/>
    <w:rsid w:val="50D11062"/>
    <w:rsid w:val="5EF84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2C0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72C06"/>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qFormat/>
    <w:rsid w:val="00C72C06"/>
  </w:style>
  <w:style w:type="character" w:customStyle="1" w:styleId="Char0">
    <w:name w:val="页眉 Char"/>
    <w:basedOn w:val="a0"/>
    <w:link w:val="a4"/>
    <w:uiPriority w:val="99"/>
    <w:qFormat/>
    <w:rsid w:val="00C72C06"/>
    <w:rPr>
      <w:rFonts w:ascii="Times New Roman" w:eastAsia="宋体" w:hAnsi="Times New Roman" w:cs="Times New Roman"/>
      <w:sz w:val="18"/>
      <w:szCs w:val="18"/>
    </w:rPr>
  </w:style>
  <w:style w:type="character" w:customStyle="1" w:styleId="Char">
    <w:name w:val="页脚 Char"/>
    <w:basedOn w:val="a0"/>
    <w:link w:val="a3"/>
    <w:uiPriority w:val="99"/>
    <w:qFormat/>
    <w:rsid w:val="00C72C0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398</Words>
  <Characters>2274</Characters>
  <Application>Microsoft Office Word</Application>
  <DocSecurity>0</DocSecurity>
  <Lines>18</Lines>
  <Paragraphs>5</Paragraphs>
  <ScaleCrop>false</ScaleCrop>
  <Company>Ghost Win7 SP1快速装机版  V2016/11/04</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刘毅新</dc:creator>
  <cp:lastModifiedBy>刘毅新</cp:lastModifiedBy>
  <cp:revision>38</cp:revision>
  <cp:lastPrinted>2016-10-28T03:53:00Z</cp:lastPrinted>
  <dcterms:created xsi:type="dcterms:W3CDTF">2015-10-16T06:51:00Z</dcterms:created>
  <dcterms:modified xsi:type="dcterms:W3CDTF">2017-10-20T02:18:00Z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