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 xml:space="preserve">附件1： </w:t>
      </w:r>
    </w:p>
    <w:p>
      <w:pPr>
        <w:jc w:val="center"/>
        <w:rPr>
          <w:rFonts w:ascii="宋体" w:hAnsi="宋体" w:eastAsia="宋体"/>
          <w:b/>
          <w:bCs/>
          <w:sz w:val="44"/>
          <w:szCs w:val="44"/>
        </w:rPr>
      </w:pPr>
      <w:r>
        <w:rPr>
          <w:rFonts w:hint="eastAsia" w:ascii="宋体" w:hAnsi="宋体" w:eastAsia="宋体"/>
          <w:b/>
          <w:bCs/>
          <w:sz w:val="44"/>
          <w:szCs w:val="44"/>
        </w:rPr>
        <w:t>2</w:t>
      </w:r>
      <w:r>
        <w:rPr>
          <w:rFonts w:ascii="宋体" w:hAnsi="宋体" w:eastAsia="宋体"/>
          <w:b/>
          <w:bCs/>
          <w:sz w:val="44"/>
          <w:szCs w:val="44"/>
        </w:rPr>
        <w:t>022</w:t>
      </w:r>
      <w:r>
        <w:rPr>
          <w:rFonts w:hint="eastAsia" w:ascii="宋体" w:hAnsi="宋体" w:eastAsia="宋体"/>
          <w:b/>
          <w:bCs/>
          <w:sz w:val="44"/>
          <w:szCs w:val="44"/>
        </w:rPr>
        <w:t>年</w:t>
      </w:r>
      <w:r>
        <w:rPr>
          <w:rFonts w:hint="eastAsia" w:ascii="宋体" w:hAnsi="宋体" w:eastAsia="宋体"/>
          <w:b/>
          <w:bCs/>
          <w:sz w:val="44"/>
          <w:szCs w:val="44"/>
          <w:lang w:val="en-US" w:eastAsia="zh-CN"/>
        </w:rPr>
        <w:t>省林业局业务处室</w:t>
      </w:r>
      <w:r>
        <w:rPr>
          <w:rFonts w:hint="eastAsia" w:ascii="宋体" w:hAnsi="宋体" w:eastAsia="宋体"/>
          <w:b/>
          <w:bCs/>
          <w:sz w:val="44"/>
          <w:szCs w:val="44"/>
        </w:rPr>
        <w:t>科技需求项目汇总表</w:t>
      </w:r>
    </w:p>
    <w:p>
      <w:pPr>
        <w:jc w:val="center"/>
        <w:rPr>
          <w:rFonts w:ascii="宋体" w:hAnsi="宋体" w:eastAsia="宋体"/>
          <w:b/>
          <w:bCs/>
          <w:sz w:val="44"/>
          <w:szCs w:val="44"/>
        </w:rPr>
      </w:pPr>
    </w:p>
    <w:tbl>
      <w:tblPr>
        <w:tblStyle w:val="8"/>
        <w:tblW w:w="14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340"/>
        <w:gridCol w:w="8261"/>
        <w:gridCol w:w="3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874" w:type="dxa"/>
          </w:tcPr>
          <w:p>
            <w:pPr>
              <w:jc w:val="center"/>
              <w:rPr>
                <w:rFonts w:hint="eastAsia" w:ascii="宋体" w:hAnsi="宋体" w:eastAsia="宋体"/>
                <w:sz w:val="28"/>
                <w:szCs w:val="28"/>
              </w:rPr>
            </w:pPr>
            <w:r>
              <w:rPr>
                <w:rFonts w:hint="eastAsia" w:ascii="宋体" w:hAnsi="宋体" w:eastAsia="宋体"/>
                <w:sz w:val="28"/>
                <w:szCs w:val="28"/>
              </w:rPr>
              <w:t>序号</w:t>
            </w:r>
          </w:p>
        </w:tc>
        <w:tc>
          <w:tcPr>
            <w:tcW w:w="2340" w:type="dxa"/>
          </w:tcPr>
          <w:p>
            <w:pPr>
              <w:jc w:val="center"/>
              <w:rPr>
                <w:rFonts w:hint="eastAsia" w:ascii="宋体" w:hAnsi="宋体" w:eastAsia="宋体"/>
                <w:sz w:val="28"/>
                <w:szCs w:val="28"/>
              </w:rPr>
            </w:pPr>
            <w:r>
              <w:rPr>
                <w:rFonts w:hint="eastAsia" w:ascii="宋体" w:hAnsi="宋体" w:eastAsia="宋体"/>
                <w:sz w:val="28"/>
                <w:szCs w:val="28"/>
              </w:rPr>
              <w:t>项目名称</w:t>
            </w:r>
          </w:p>
        </w:tc>
        <w:tc>
          <w:tcPr>
            <w:tcW w:w="8261" w:type="dxa"/>
          </w:tcPr>
          <w:p>
            <w:pPr>
              <w:jc w:val="center"/>
              <w:rPr>
                <w:rFonts w:hint="eastAsia" w:ascii="宋体" w:hAnsi="宋体" w:eastAsia="宋体"/>
                <w:sz w:val="28"/>
                <w:szCs w:val="28"/>
              </w:rPr>
            </w:pPr>
            <w:r>
              <w:rPr>
                <w:rFonts w:hint="eastAsia" w:ascii="宋体" w:hAnsi="宋体" w:eastAsia="宋体"/>
                <w:sz w:val="28"/>
                <w:szCs w:val="28"/>
              </w:rPr>
              <w:t>主要研究内容</w:t>
            </w:r>
          </w:p>
        </w:tc>
        <w:tc>
          <w:tcPr>
            <w:tcW w:w="3105" w:type="dxa"/>
          </w:tcPr>
          <w:p>
            <w:pPr>
              <w:jc w:val="center"/>
              <w:rPr>
                <w:rFonts w:hint="eastAsia" w:ascii="宋体" w:hAnsi="宋体" w:eastAsia="宋体"/>
                <w:sz w:val="28"/>
                <w:szCs w:val="28"/>
                <w:lang w:val="en-US" w:eastAsia="zh-CN"/>
              </w:rPr>
            </w:pPr>
            <w:r>
              <w:rPr>
                <w:rFonts w:hint="eastAsia" w:ascii="宋体" w:hAnsi="宋体" w:eastAsia="宋体"/>
                <w:sz w:val="28"/>
                <w:szCs w:val="28"/>
                <w:lang w:val="en-US" w:eastAsia="zh-CN"/>
              </w:rPr>
              <w:t>需求提出业务处室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2" w:hRule="atLeast"/>
        </w:trPr>
        <w:tc>
          <w:tcPr>
            <w:tcW w:w="87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34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山水林田湖草沙整体保护、系统修复、综合治理研究</w:t>
            </w:r>
          </w:p>
        </w:tc>
        <w:tc>
          <w:tcPr>
            <w:tcW w:w="8261"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综合考虑自然生态系统的原真性、完整性，以江河湖流域、山体山脉等相对完整的自然地理单元为基础，结合行政区域划分，就如何开展在整体保护基础上的修复治理项目进行研究，开展工程实施范围、建设规模、系统修复方案、综合治理办法、生态区位监测、生态成效评价等方面的具体研究。</w:t>
            </w: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局生态保护修复处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6" w:hRule="atLeast"/>
        </w:trPr>
        <w:tc>
          <w:tcPr>
            <w:tcW w:w="87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34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碳中和背景下广东省典型优势树种组大径材林培育关键技术体系构建与示范</w:t>
            </w:r>
          </w:p>
        </w:tc>
        <w:tc>
          <w:tcPr>
            <w:tcW w:w="8261"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针对我省大径材林经营过程中存在的家底不清、限制因素不明、培育技术不足以及高质量示范林辐射面不广等现存问题，开展典型优势树种组大径材林碳汇现状及潜力、大径材培育及其固碳能力的关键自然限制因子、如何实现大径材林生长和固碳能力“双增”、高碳汇大径材林培育技术体系和示范林构建等方面的研究。</w:t>
            </w: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局生态保护修复处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trPr>
        <w:tc>
          <w:tcPr>
            <w:tcW w:w="87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p>
        </w:tc>
        <w:tc>
          <w:tcPr>
            <w:tcW w:w="234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广东省珍稀野生腐生兰科植物群落学调查及生存机制研究</w:t>
            </w:r>
          </w:p>
        </w:tc>
        <w:tc>
          <w:tcPr>
            <w:tcW w:w="8261"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拟对广东省野生腐生兰无叶兰、虎头兰、丹霞兰等珍稀兰花植物进行深入调查，在此基础上分离鉴定菌根真菌，揭示腐生兰菌根真菌的多样性和专一性; 结合新技术和新方法，深入研究菌根真菌与腐生兰的共生营养机制。</w:t>
            </w:r>
          </w:p>
        </w:tc>
        <w:tc>
          <w:tcPr>
            <w:tcW w:w="310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局野生动植物保护处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trPr>
        <w:tc>
          <w:tcPr>
            <w:tcW w:w="87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p>
        </w:tc>
        <w:tc>
          <w:tcPr>
            <w:tcW w:w="234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广东省野生鸟类粪便及其生存环境中抗性基因的分布研究</w:t>
            </w:r>
          </w:p>
        </w:tc>
        <w:tc>
          <w:tcPr>
            <w:tcW w:w="8261"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开展</w:t>
            </w:r>
            <w:r>
              <w:rPr>
                <w:rFonts w:hint="eastAsia" w:ascii="仿宋_GB2312" w:hAnsi="仿宋_GB2312" w:eastAsia="仿宋_GB2312" w:cs="仿宋_GB2312"/>
                <w:sz w:val="24"/>
                <w:szCs w:val="24"/>
              </w:rPr>
              <w:t>广东省不同土地利用类型中野生鸟类的分布特征与种群结构</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野生鸟类粪便中微生物群落结构特征</w:t>
            </w:r>
            <w:r>
              <w:rPr>
                <w:rFonts w:hint="eastAsia" w:ascii="仿宋_GB2312" w:hAnsi="仿宋_GB2312" w:eastAsia="仿宋_GB2312" w:cs="仿宋_GB2312"/>
                <w:sz w:val="24"/>
                <w:szCs w:val="24"/>
                <w:lang w:val="en-US" w:eastAsia="zh-CN"/>
              </w:rPr>
              <w:t>及</w:t>
            </w:r>
            <w:r>
              <w:rPr>
                <w:rFonts w:hint="eastAsia" w:ascii="仿宋_GB2312" w:hAnsi="仿宋_GB2312" w:eastAsia="仿宋_GB2312" w:cs="仿宋_GB2312"/>
                <w:sz w:val="24"/>
                <w:szCs w:val="24"/>
              </w:rPr>
              <w:t>野生鸟类栖息地环境中抗生素耐药菌与耐药基因分布特征</w:t>
            </w:r>
            <w:r>
              <w:rPr>
                <w:rFonts w:hint="eastAsia" w:ascii="仿宋_GB2312" w:hAnsi="仿宋_GB2312" w:eastAsia="仿宋_GB2312" w:cs="仿宋_GB2312"/>
                <w:sz w:val="24"/>
                <w:szCs w:val="24"/>
                <w:lang w:val="en-US" w:eastAsia="zh-CN"/>
              </w:rPr>
              <w:t>等研究</w:t>
            </w:r>
            <w:r>
              <w:rPr>
                <w:rFonts w:hint="eastAsia" w:ascii="仿宋_GB2312" w:hAnsi="仿宋_GB2312" w:eastAsia="仿宋_GB2312" w:cs="仿宋_GB2312"/>
                <w:sz w:val="24"/>
                <w:szCs w:val="24"/>
              </w:rPr>
              <w:t>。</w:t>
            </w:r>
            <w:bookmarkStart w:id="0" w:name="_GoBack"/>
            <w:bookmarkEnd w:id="0"/>
          </w:p>
        </w:tc>
        <w:tc>
          <w:tcPr>
            <w:tcW w:w="3105"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局野生动植物保护处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2340"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穿山甲人工繁育关键技术研究</w:t>
            </w:r>
          </w:p>
        </w:tc>
        <w:tc>
          <w:tcPr>
            <w:tcW w:w="8261"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穿山甲不同生物学时期的营养需求；不同生理时期人工饲料的研发；</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主要疾病防治技术。</w:t>
            </w: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局野生动植物保护处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2340"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主要用材树种良种选育繁育与试验示范</w:t>
            </w:r>
          </w:p>
        </w:tc>
        <w:tc>
          <w:tcPr>
            <w:tcW w:w="8261"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重点开展我省主要用材树种的高世代育种群体构建、良种选育、育种新技术研发、杂种优势机理、材质抗性改良等育种工作，建立良种的高效繁育与试验示范体系。</w:t>
            </w: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局国有林场和种苗管理处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2340"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主要抗性乔灌木树种种质评鉴和良种选育</w:t>
            </w:r>
          </w:p>
        </w:tc>
        <w:tc>
          <w:tcPr>
            <w:tcW w:w="8261"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重点开展耐瘠薄、耐盐碱、抗病虫害、抗干旱的乔灌木树种种质资源收集保存、评鉴、子代测定、区域试验等良种选育，加快高效繁育技术应用推广，提升造林种苗生产供应能力。</w:t>
            </w: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局国有林场和种苗管理处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2340"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粤北重点生态区域松材线虫病防控综合集成研究</w:t>
            </w:r>
          </w:p>
        </w:tc>
        <w:tc>
          <w:tcPr>
            <w:tcW w:w="8261"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按照“预防为主、治理为要、监管为重”的防控理念，从评估预警、防治成效评价、标准化管理三个方面着手，研究防控评估预警、成效评价和管理措施相结合的综合集成体系，构建松材线虫病防控全过程标准化管理模式。</w:t>
            </w: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局防治检疫处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2340"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松树抗松材线虫病种质筛选与营林技术研究</w:t>
            </w:r>
          </w:p>
        </w:tc>
        <w:tc>
          <w:tcPr>
            <w:tcW w:w="8261"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开展松树抗性的遗传效应分析、抗性基因筛选，初步筛选抗性种质并建立胚性材料的超低温保存库；通过疫区松树资源受害情况调查，分析病害发生程度与林分结构、立地条件等因素的相关关系，提出营林控制技术；初步探索树栖捕食线虫菌物的筛选与接种方法。</w:t>
            </w: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局防治检疫处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2340"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红树林</w:t>
            </w:r>
            <w:r>
              <w:rPr>
                <w:rFonts w:hint="eastAsia" w:ascii="仿宋_GB2312" w:hAnsi="仿宋_GB2312" w:eastAsia="仿宋_GB2312" w:cs="仿宋_GB2312"/>
                <w:sz w:val="24"/>
                <w:szCs w:val="24"/>
                <w:lang w:val="en-US" w:eastAsia="zh-CN"/>
              </w:rPr>
              <w:t>湿地保护修复关键技术研究</w:t>
            </w:r>
          </w:p>
        </w:tc>
        <w:tc>
          <w:tcPr>
            <w:tcW w:w="8261"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红树林碳汇、生境营造、品种选育、引种实验、栽培抚育、病虫害防治、珍稀物种保护、有害物种防控、结构单一人工林与退化次生林提质改造、红树林防灾减灾功能等。</w:t>
            </w:r>
          </w:p>
        </w:tc>
        <w:tc>
          <w:tcPr>
            <w:tcW w:w="3105" w:type="dxa"/>
            <w:vAlign w:val="center"/>
          </w:tcPr>
          <w:p>
            <w:pPr>
              <w:widowControl/>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局湿地管理处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2340"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小微湿地保育修复模式与关键技术研究</w:t>
            </w:r>
          </w:p>
        </w:tc>
        <w:tc>
          <w:tcPr>
            <w:tcW w:w="8261" w:type="dxa"/>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小微湿地保育修复模式与关键技术研究，重点关注小微湿地保育修复措施、小微湿地对农村生活污水处理改善及小微湿地天然水体的修复治理等内容。</w:t>
            </w:r>
          </w:p>
        </w:tc>
        <w:tc>
          <w:tcPr>
            <w:tcW w:w="3105" w:type="dxa"/>
            <w:vAlign w:val="center"/>
          </w:tcPr>
          <w:p>
            <w:pPr>
              <w:widowControl/>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局湿地管理处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trPr>
        <w:tc>
          <w:tcPr>
            <w:tcW w:w="87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234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新时期森林火灾预防体系研究</w:t>
            </w:r>
          </w:p>
          <w:p>
            <w:pPr>
              <w:rPr>
                <w:rFonts w:hint="eastAsia" w:ascii="仿宋_GB2312" w:hAnsi="仿宋_GB2312" w:eastAsia="仿宋_GB2312" w:cs="仿宋_GB2312"/>
                <w:sz w:val="24"/>
                <w:szCs w:val="24"/>
                <w:lang w:val="en-US" w:eastAsia="zh-CN"/>
              </w:rPr>
            </w:pPr>
          </w:p>
        </w:tc>
        <w:tc>
          <w:tcPr>
            <w:tcW w:w="8261" w:type="dxa"/>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主要开展</w:t>
            </w:r>
            <w:r>
              <w:rPr>
                <w:rFonts w:hint="eastAsia" w:ascii="仿宋_GB2312" w:hAnsi="仿宋_GB2312" w:eastAsia="仿宋_GB2312" w:cs="仿宋_GB2312"/>
                <w:sz w:val="24"/>
                <w:szCs w:val="24"/>
              </w:rPr>
              <w:t>新时期森林火灾预防关键技术</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地表可燃物资源化利用促进源头减量试点应用</w:t>
            </w:r>
            <w:r>
              <w:rPr>
                <w:rFonts w:hint="eastAsia" w:ascii="仿宋_GB2312" w:hAnsi="仿宋_GB2312" w:eastAsia="仿宋_GB2312" w:cs="仿宋_GB2312"/>
                <w:sz w:val="24"/>
                <w:szCs w:val="24"/>
                <w:lang w:val="en-US" w:eastAsia="zh-CN"/>
              </w:rPr>
              <w:t>及</w:t>
            </w:r>
            <w:r>
              <w:rPr>
                <w:rFonts w:hint="eastAsia" w:ascii="仿宋_GB2312" w:hAnsi="仿宋_GB2312" w:eastAsia="仿宋_GB2312" w:cs="仿宋_GB2312"/>
                <w:sz w:val="24"/>
                <w:szCs w:val="24"/>
              </w:rPr>
              <w:t>机构改革背景下火情早期处理组织体系与应急机制研究</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lang w:val="en-US" w:eastAsia="zh-CN"/>
              </w:rPr>
            </w:pPr>
          </w:p>
        </w:tc>
        <w:tc>
          <w:tcPr>
            <w:tcW w:w="3105"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局森林火灾预防处</w:t>
            </w:r>
          </w:p>
        </w:tc>
      </w:tr>
    </w:tbl>
    <w:p>
      <w:pPr>
        <w:jc w:val="both"/>
        <w:rPr>
          <w:rFonts w:hint="eastAsia" w:ascii="宋体" w:hAnsi="宋体" w:eastAsia="宋体"/>
          <w:b/>
          <w:bCs/>
          <w:sz w:val="44"/>
          <w:szCs w:val="4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chineseCountingThousand"/>
      <w:pStyle w:val="4"/>
      <w:lvlText w:val="第%1章"/>
      <w:lvlJc w:val="left"/>
      <w:pPr>
        <w:tabs>
          <w:tab w:val="left" w:pos="432"/>
        </w:tabs>
        <w:ind w:left="432" w:hanging="432"/>
      </w:pPr>
      <w:rPr>
        <w:rFonts w:hint="eastAsia" w:cs="Times New Roman"/>
      </w:rPr>
    </w:lvl>
    <w:lvl w:ilvl="1" w:tentative="0">
      <w:start w:val="1"/>
      <w:numFmt w:val="decimal"/>
      <w:isLgl/>
      <w:lvlText w:val="%2."/>
      <w:lvlJc w:val="left"/>
      <w:pPr>
        <w:tabs>
          <w:tab w:val="left" w:pos="576"/>
        </w:tabs>
        <w:ind w:left="576" w:hanging="576"/>
      </w:pPr>
      <w:rPr>
        <w:rFonts w:hint="eastAsia" w:cs="Times New Roman"/>
        <w:b/>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lvlText w:val="%1.%2.%3.%4"/>
      <w:lvlJc w:val="left"/>
      <w:pPr>
        <w:tabs>
          <w:tab w:val="left" w:pos="864"/>
        </w:tabs>
        <w:ind w:left="864" w:hanging="864"/>
      </w:pPr>
      <w:rPr>
        <w:rFonts w:hint="eastAsia" w:cs="Times New Roman"/>
      </w:rPr>
    </w:lvl>
    <w:lvl w:ilvl="4" w:tentative="0">
      <w:start w:val="1"/>
      <w:numFmt w:val="decimal"/>
      <w:lvlText w:val="%1.%2.%3.%4.%5"/>
      <w:lvlJc w:val="left"/>
      <w:pPr>
        <w:tabs>
          <w:tab w:val="left" w:pos="1008"/>
        </w:tabs>
        <w:ind w:left="1008" w:hanging="1008"/>
      </w:pPr>
      <w:rPr>
        <w:rFonts w:hint="eastAsia" w:cs="Times New Roman"/>
      </w:rPr>
    </w:lvl>
    <w:lvl w:ilvl="5" w:tentative="0">
      <w:start w:val="1"/>
      <w:numFmt w:val="decimal"/>
      <w:lvlText w:val="%1.%2.%3.%4.%5.%6"/>
      <w:lvlJc w:val="left"/>
      <w:pPr>
        <w:tabs>
          <w:tab w:val="left" w:pos="1152"/>
        </w:tabs>
        <w:ind w:left="1152" w:hanging="1152"/>
      </w:pPr>
      <w:rPr>
        <w:rFonts w:hint="eastAsia" w:cs="Times New Roman"/>
      </w:rPr>
    </w:lvl>
    <w:lvl w:ilvl="6" w:tentative="0">
      <w:start w:val="1"/>
      <w:numFmt w:val="decimal"/>
      <w:lvlText w:val="%1.%2.%3.%4.%5.%6.%7"/>
      <w:lvlJc w:val="left"/>
      <w:pPr>
        <w:tabs>
          <w:tab w:val="left" w:pos="1296"/>
        </w:tabs>
        <w:ind w:left="1296" w:hanging="1296"/>
      </w:pPr>
      <w:rPr>
        <w:rFonts w:hint="eastAsia"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A97"/>
    <w:rsid w:val="000E2A97"/>
    <w:rsid w:val="006D5296"/>
    <w:rsid w:val="03223531"/>
    <w:rsid w:val="19166E37"/>
    <w:rsid w:val="195B34C8"/>
    <w:rsid w:val="2A793BB1"/>
    <w:rsid w:val="377826A4"/>
    <w:rsid w:val="43D7441B"/>
    <w:rsid w:val="47B538C3"/>
    <w:rsid w:val="4E2972FA"/>
    <w:rsid w:val="58235B80"/>
    <w:rsid w:val="6344340D"/>
    <w:rsid w:val="71CC5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widowControl w:val="0"/>
      <w:numPr>
        <w:ilvl w:val="0"/>
        <w:numId w:val="1"/>
      </w:numPr>
      <w:spacing w:before="340" w:after="330" w:line="578" w:lineRule="auto"/>
      <w:jc w:val="both"/>
      <w:outlineLvl w:val="0"/>
    </w:pPr>
    <w:rPr>
      <w:b/>
      <w:bCs/>
      <w:kern w:val="44"/>
      <w:sz w:val="36"/>
      <w:szCs w:val="44"/>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Times New Roman" w:hAnsi="Times New Roman"/>
    </w:rPr>
  </w:style>
  <w:style w:type="paragraph" w:styleId="3">
    <w:name w:val="Body Text"/>
    <w:basedOn w:val="1"/>
    <w:qFormat/>
    <w:uiPriority w:val="0"/>
    <w:pPr>
      <w:spacing w:after="120"/>
    </w:p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122</Words>
  <Characters>696</Characters>
  <Lines>5</Lines>
  <Paragraphs>1</Paragraphs>
  <TotalTime>18</TotalTime>
  <ScaleCrop>false</ScaleCrop>
  <LinksUpToDate>false</LinksUpToDate>
  <CharactersWithSpaces>817</CharactersWithSpaces>
  <Application>WPS Office_10.8.2.6900_F1E327BC-269C-435d-A152-05C5408002CA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2021-06-14T01:27:00Z</dcterms:created>
  <dc:creator>chen rbin</dc:creator>
  <cp:lastModifiedBy>谢书丹</cp:lastModifiedBy>
  <cp:lastPrinted>2021-06-22T08:25:11Z</cp:lastPrinted>
  <dcterms:modified xsi:type="dcterms:W3CDTF">2021-06-22T08:27:00Z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2052-10.8.2.6900</vt:lpwstr>
  </property>
  <property fmtid="{D5CDD505-2E9C-101B-9397-08002B2CF9AE}" pid="3" name="ICV">
    <vt:lpwstr>69273A3496C240088C1C5E8F52DA9A42</vt:lpwstr>
  </property>
</Properties>
</file>